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FEDD" w14:textId="3B36F9CF" w:rsidR="00930D90" w:rsidRDefault="00930D90">
      <w:pPr>
        <w:rPr>
          <w:rFonts w:ascii="Arial" w:hAnsi="Arial" w:cs="Arial"/>
          <w:b/>
          <w:sz w:val="24"/>
          <w:szCs w:val="24"/>
        </w:rPr>
      </w:pPr>
    </w:p>
    <w:tbl>
      <w:tblPr>
        <w:tblStyle w:val="TableGrid"/>
        <w:tblpPr w:leftFromText="180" w:rightFromText="180" w:vertAnchor="page" w:horzAnchor="margin" w:tblpY="2131"/>
        <w:tblW w:w="0" w:type="auto"/>
        <w:tblLook w:val="04A0" w:firstRow="1" w:lastRow="0" w:firstColumn="1" w:lastColumn="0" w:noHBand="0" w:noVBand="1"/>
      </w:tblPr>
      <w:tblGrid>
        <w:gridCol w:w="3604"/>
        <w:gridCol w:w="6603"/>
      </w:tblGrid>
      <w:tr w:rsidR="004848FD" w14:paraId="7B537209" w14:textId="77777777" w:rsidTr="008204C9">
        <w:trPr>
          <w:trHeight w:val="1478"/>
        </w:trPr>
        <w:tc>
          <w:tcPr>
            <w:tcW w:w="10485" w:type="dxa"/>
            <w:gridSpan w:val="2"/>
            <w:tcBorders>
              <w:top w:val="single" w:sz="4" w:space="0" w:color="auto"/>
              <w:left w:val="single" w:sz="4" w:space="0" w:color="auto"/>
              <w:bottom w:val="single" w:sz="4" w:space="0" w:color="auto"/>
              <w:right w:val="single" w:sz="4" w:space="0" w:color="auto"/>
            </w:tcBorders>
            <w:hideMark/>
          </w:tcPr>
          <w:p w14:paraId="574B3595" w14:textId="77777777" w:rsidR="004848FD" w:rsidRDefault="004848FD" w:rsidP="00A6376B">
            <w:pPr>
              <w:rPr>
                <w:b/>
                <w:sz w:val="36"/>
                <w:szCs w:val="36"/>
              </w:rPr>
            </w:pPr>
            <w:r>
              <w:rPr>
                <w:noProof/>
              </w:rPr>
              <w:drawing>
                <wp:anchor distT="0" distB="0" distL="114300" distR="114300" simplePos="0" relativeHeight="251665408" behindDoc="0" locked="0" layoutInCell="1" allowOverlap="1" wp14:anchorId="1D0F2510" wp14:editId="690D8963">
                  <wp:simplePos x="0" y="0"/>
                  <wp:positionH relativeFrom="margin">
                    <wp:posOffset>3662045</wp:posOffset>
                  </wp:positionH>
                  <wp:positionV relativeFrom="paragraph">
                    <wp:posOffset>203200</wp:posOffset>
                  </wp:positionV>
                  <wp:extent cx="1723390" cy="610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3390" cy="610235"/>
                          </a:xfrm>
                          <a:prstGeom prst="rect">
                            <a:avLst/>
                          </a:prstGeom>
                          <a:noFill/>
                        </pic:spPr>
                      </pic:pic>
                    </a:graphicData>
                  </a:graphic>
                  <wp14:sizeRelH relativeFrom="margin">
                    <wp14:pctWidth>0</wp14:pctWidth>
                  </wp14:sizeRelH>
                  <wp14:sizeRelV relativeFrom="margin">
                    <wp14:pctHeight>0</wp14:pctHeight>
                  </wp14:sizeRelV>
                </wp:anchor>
              </w:drawing>
            </w:r>
          </w:p>
        </w:tc>
      </w:tr>
      <w:tr w:rsidR="004848FD" w14:paraId="0F92BB30" w14:textId="77777777" w:rsidTr="008204C9">
        <w:trPr>
          <w:trHeight w:val="1478"/>
        </w:trPr>
        <w:tc>
          <w:tcPr>
            <w:tcW w:w="10485" w:type="dxa"/>
            <w:gridSpan w:val="2"/>
            <w:tcBorders>
              <w:top w:val="single" w:sz="4" w:space="0" w:color="auto"/>
              <w:left w:val="single" w:sz="4" w:space="0" w:color="auto"/>
              <w:bottom w:val="single" w:sz="4" w:space="0" w:color="auto"/>
              <w:right w:val="single" w:sz="4" w:space="0" w:color="auto"/>
            </w:tcBorders>
            <w:hideMark/>
          </w:tcPr>
          <w:p w14:paraId="4B4ACC76" w14:textId="77777777" w:rsidR="004848FD" w:rsidRDefault="004848FD" w:rsidP="00A6376B">
            <w:pPr>
              <w:rPr>
                <w:b/>
                <w:sz w:val="36"/>
                <w:szCs w:val="36"/>
              </w:rPr>
            </w:pPr>
            <w:r>
              <w:rPr>
                <w:b/>
                <w:sz w:val="36"/>
                <w:szCs w:val="36"/>
              </w:rPr>
              <w:t>Policy Control Sheet</w:t>
            </w:r>
          </w:p>
        </w:tc>
      </w:tr>
      <w:tr w:rsidR="004848FD" w14:paraId="4F54D7F7"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0B23DEA2" w14:textId="77777777" w:rsidR="004848FD" w:rsidRDefault="004848FD" w:rsidP="00A6376B">
            <w:pPr>
              <w:rPr>
                <w:b/>
                <w:sz w:val="28"/>
                <w:szCs w:val="28"/>
              </w:rPr>
            </w:pPr>
            <w:r>
              <w:rPr>
                <w:b/>
                <w:sz w:val="28"/>
                <w:szCs w:val="28"/>
              </w:rPr>
              <w:t>Policy Title:</w:t>
            </w:r>
          </w:p>
        </w:tc>
        <w:tc>
          <w:tcPr>
            <w:tcW w:w="6804" w:type="dxa"/>
            <w:tcBorders>
              <w:top w:val="single" w:sz="4" w:space="0" w:color="auto"/>
              <w:left w:val="single" w:sz="4" w:space="0" w:color="auto"/>
              <w:bottom w:val="single" w:sz="4" w:space="0" w:color="auto"/>
              <w:right w:val="single" w:sz="4" w:space="0" w:color="auto"/>
            </w:tcBorders>
            <w:hideMark/>
          </w:tcPr>
          <w:p w14:paraId="7A20972F" w14:textId="01F6C323" w:rsidR="004848FD" w:rsidRDefault="005A051B" w:rsidP="00A6376B">
            <w:pPr>
              <w:rPr>
                <w:b/>
                <w:sz w:val="28"/>
                <w:szCs w:val="28"/>
              </w:rPr>
            </w:pPr>
            <w:r>
              <w:rPr>
                <w:b/>
                <w:sz w:val="28"/>
                <w:szCs w:val="28"/>
              </w:rPr>
              <w:t>Care 2 Learn</w:t>
            </w:r>
            <w:r w:rsidR="00026CFE">
              <w:rPr>
                <w:b/>
                <w:sz w:val="28"/>
                <w:szCs w:val="28"/>
              </w:rPr>
              <w:t xml:space="preserve"> </w:t>
            </w:r>
          </w:p>
        </w:tc>
      </w:tr>
      <w:tr w:rsidR="004848FD" w14:paraId="2FAA3030"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04EDFC2C" w14:textId="77777777" w:rsidR="004848FD" w:rsidRDefault="004848FD" w:rsidP="00A6376B">
            <w:pPr>
              <w:rPr>
                <w:b/>
                <w:sz w:val="28"/>
                <w:szCs w:val="28"/>
              </w:rPr>
            </w:pPr>
            <w:r>
              <w:rPr>
                <w:b/>
                <w:sz w:val="28"/>
                <w:szCs w:val="28"/>
              </w:rPr>
              <w:t>Author / Role:</w:t>
            </w:r>
          </w:p>
        </w:tc>
        <w:tc>
          <w:tcPr>
            <w:tcW w:w="6804" w:type="dxa"/>
            <w:tcBorders>
              <w:top w:val="single" w:sz="4" w:space="0" w:color="auto"/>
              <w:left w:val="single" w:sz="4" w:space="0" w:color="auto"/>
              <w:bottom w:val="single" w:sz="4" w:space="0" w:color="auto"/>
              <w:right w:val="single" w:sz="4" w:space="0" w:color="auto"/>
            </w:tcBorders>
            <w:hideMark/>
          </w:tcPr>
          <w:p w14:paraId="38EFC481" w14:textId="713F40ED" w:rsidR="00026CFE" w:rsidRPr="00026CFE" w:rsidRDefault="00026CFE" w:rsidP="00026CFE">
            <w:pPr>
              <w:rPr>
                <w:b/>
                <w:sz w:val="28"/>
                <w:szCs w:val="28"/>
              </w:rPr>
            </w:pPr>
            <w:r w:rsidRPr="00026CFE">
              <w:rPr>
                <w:b/>
                <w:sz w:val="28"/>
                <w:szCs w:val="28"/>
              </w:rPr>
              <w:t xml:space="preserve">Sarah-Jayne Lee </w:t>
            </w:r>
            <w:r w:rsidR="009D7BEB">
              <w:rPr>
                <w:b/>
                <w:sz w:val="28"/>
                <w:szCs w:val="28"/>
              </w:rPr>
              <w:t>–</w:t>
            </w:r>
            <w:r w:rsidRPr="00026CFE">
              <w:rPr>
                <w:b/>
                <w:sz w:val="28"/>
                <w:szCs w:val="28"/>
              </w:rPr>
              <w:t xml:space="preserve"> SEND</w:t>
            </w:r>
            <w:r w:rsidR="009D7BEB">
              <w:rPr>
                <w:b/>
                <w:sz w:val="28"/>
                <w:szCs w:val="28"/>
              </w:rPr>
              <w:t xml:space="preserve"> Manager</w:t>
            </w:r>
          </w:p>
          <w:p w14:paraId="61525C42" w14:textId="77777777" w:rsidR="004848FD" w:rsidRDefault="00026CFE" w:rsidP="00026CFE">
            <w:pPr>
              <w:rPr>
                <w:b/>
                <w:sz w:val="28"/>
                <w:szCs w:val="28"/>
              </w:rPr>
            </w:pPr>
            <w:r w:rsidRPr="00026CFE">
              <w:rPr>
                <w:b/>
                <w:sz w:val="28"/>
                <w:szCs w:val="28"/>
              </w:rPr>
              <w:t>Student Inclusion and Support</w:t>
            </w:r>
          </w:p>
        </w:tc>
      </w:tr>
      <w:tr w:rsidR="004848FD" w14:paraId="10C4F5EC"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2F075D9B" w14:textId="77777777" w:rsidR="004848FD" w:rsidRDefault="004848FD" w:rsidP="00A6376B">
            <w:pPr>
              <w:rPr>
                <w:b/>
                <w:sz w:val="28"/>
                <w:szCs w:val="28"/>
              </w:rPr>
            </w:pPr>
            <w:r>
              <w:rPr>
                <w:b/>
                <w:sz w:val="28"/>
                <w:szCs w:val="28"/>
              </w:rPr>
              <w:t>Date:</w:t>
            </w:r>
          </w:p>
        </w:tc>
        <w:tc>
          <w:tcPr>
            <w:tcW w:w="6804" w:type="dxa"/>
            <w:tcBorders>
              <w:top w:val="single" w:sz="4" w:space="0" w:color="auto"/>
              <w:left w:val="single" w:sz="4" w:space="0" w:color="auto"/>
              <w:bottom w:val="single" w:sz="4" w:space="0" w:color="auto"/>
              <w:right w:val="single" w:sz="4" w:space="0" w:color="auto"/>
            </w:tcBorders>
            <w:hideMark/>
          </w:tcPr>
          <w:p w14:paraId="489ED7AD" w14:textId="2F88285B" w:rsidR="004848FD" w:rsidRDefault="004848FD" w:rsidP="00A6376B">
            <w:pPr>
              <w:rPr>
                <w:b/>
                <w:sz w:val="28"/>
                <w:szCs w:val="28"/>
              </w:rPr>
            </w:pPr>
            <w:r>
              <w:rPr>
                <w:b/>
                <w:sz w:val="28"/>
                <w:szCs w:val="28"/>
              </w:rPr>
              <w:t>Ju</w:t>
            </w:r>
            <w:r w:rsidR="00026CFE">
              <w:rPr>
                <w:b/>
                <w:sz w:val="28"/>
                <w:szCs w:val="28"/>
              </w:rPr>
              <w:t>ly</w:t>
            </w:r>
            <w:r>
              <w:rPr>
                <w:b/>
                <w:sz w:val="28"/>
                <w:szCs w:val="28"/>
              </w:rPr>
              <w:t xml:space="preserve"> 202</w:t>
            </w:r>
            <w:r w:rsidR="00844195">
              <w:rPr>
                <w:b/>
                <w:sz w:val="28"/>
                <w:szCs w:val="28"/>
              </w:rPr>
              <w:t>5</w:t>
            </w:r>
          </w:p>
        </w:tc>
      </w:tr>
      <w:tr w:rsidR="004848FD" w14:paraId="38E3BADC"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6F1B0BB0" w14:textId="77777777" w:rsidR="004848FD" w:rsidRDefault="004848FD" w:rsidP="00A6376B">
            <w:pPr>
              <w:rPr>
                <w:b/>
                <w:sz w:val="28"/>
                <w:szCs w:val="28"/>
              </w:rPr>
            </w:pPr>
            <w:r>
              <w:rPr>
                <w:b/>
                <w:sz w:val="28"/>
                <w:szCs w:val="28"/>
              </w:rPr>
              <w:t>Approved by:</w:t>
            </w:r>
          </w:p>
        </w:tc>
        <w:tc>
          <w:tcPr>
            <w:tcW w:w="6804" w:type="dxa"/>
            <w:tcBorders>
              <w:top w:val="single" w:sz="4" w:space="0" w:color="auto"/>
              <w:left w:val="single" w:sz="4" w:space="0" w:color="auto"/>
              <w:bottom w:val="single" w:sz="4" w:space="0" w:color="auto"/>
              <w:right w:val="single" w:sz="4" w:space="0" w:color="auto"/>
            </w:tcBorders>
          </w:tcPr>
          <w:p w14:paraId="7B9C5E89" w14:textId="77777777" w:rsidR="004848FD" w:rsidRDefault="004848FD" w:rsidP="00A6376B">
            <w:pPr>
              <w:rPr>
                <w:b/>
                <w:sz w:val="28"/>
                <w:szCs w:val="28"/>
              </w:rPr>
            </w:pPr>
          </w:p>
        </w:tc>
      </w:tr>
      <w:tr w:rsidR="004848FD" w14:paraId="0851763C"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138464F6" w14:textId="77777777" w:rsidR="004848FD" w:rsidRDefault="004848FD" w:rsidP="00A6376B">
            <w:pPr>
              <w:rPr>
                <w:b/>
                <w:sz w:val="28"/>
                <w:szCs w:val="28"/>
              </w:rPr>
            </w:pPr>
            <w:r>
              <w:rPr>
                <w:b/>
                <w:sz w:val="28"/>
                <w:szCs w:val="28"/>
              </w:rPr>
              <w:t>Date Approved:</w:t>
            </w:r>
          </w:p>
        </w:tc>
        <w:tc>
          <w:tcPr>
            <w:tcW w:w="6804" w:type="dxa"/>
            <w:tcBorders>
              <w:top w:val="single" w:sz="4" w:space="0" w:color="auto"/>
              <w:left w:val="single" w:sz="4" w:space="0" w:color="auto"/>
              <w:bottom w:val="single" w:sz="4" w:space="0" w:color="auto"/>
              <w:right w:val="single" w:sz="4" w:space="0" w:color="auto"/>
            </w:tcBorders>
          </w:tcPr>
          <w:p w14:paraId="5921FF71" w14:textId="77777777" w:rsidR="004848FD" w:rsidRDefault="004848FD" w:rsidP="00A6376B">
            <w:pPr>
              <w:rPr>
                <w:b/>
                <w:sz w:val="28"/>
                <w:szCs w:val="28"/>
              </w:rPr>
            </w:pPr>
          </w:p>
        </w:tc>
      </w:tr>
      <w:tr w:rsidR="004848FD" w14:paraId="001DB30A"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383189A7" w14:textId="77777777" w:rsidR="004848FD" w:rsidRDefault="004848FD" w:rsidP="00A6376B">
            <w:pPr>
              <w:rPr>
                <w:b/>
                <w:sz w:val="28"/>
                <w:szCs w:val="28"/>
              </w:rPr>
            </w:pPr>
            <w:r>
              <w:rPr>
                <w:b/>
                <w:sz w:val="28"/>
                <w:szCs w:val="28"/>
              </w:rPr>
              <w:t>Next Review Date:</w:t>
            </w:r>
          </w:p>
        </w:tc>
        <w:tc>
          <w:tcPr>
            <w:tcW w:w="6804" w:type="dxa"/>
            <w:tcBorders>
              <w:top w:val="single" w:sz="4" w:space="0" w:color="auto"/>
              <w:left w:val="single" w:sz="4" w:space="0" w:color="auto"/>
              <w:bottom w:val="single" w:sz="4" w:space="0" w:color="auto"/>
              <w:right w:val="single" w:sz="4" w:space="0" w:color="auto"/>
            </w:tcBorders>
            <w:hideMark/>
          </w:tcPr>
          <w:p w14:paraId="5F7AABCD" w14:textId="0DD74912" w:rsidR="004848FD" w:rsidRDefault="004848FD" w:rsidP="00A6376B">
            <w:pPr>
              <w:rPr>
                <w:b/>
                <w:sz w:val="28"/>
                <w:szCs w:val="28"/>
              </w:rPr>
            </w:pPr>
            <w:r>
              <w:rPr>
                <w:b/>
                <w:sz w:val="28"/>
                <w:szCs w:val="28"/>
              </w:rPr>
              <w:t>June 202</w:t>
            </w:r>
            <w:r w:rsidR="00844195">
              <w:rPr>
                <w:b/>
                <w:sz w:val="28"/>
                <w:szCs w:val="28"/>
              </w:rPr>
              <w:t>6</w:t>
            </w:r>
          </w:p>
        </w:tc>
      </w:tr>
    </w:tbl>
    <w:p w14:paraId="0E6A38C3" w14:textId="77777777" w:rsidR="008D1B09" w:rsidRDefault="008D1B09">
      <w:pPr>
        <w:rPr>
          <w:rFonts w:ascii="Arial" w:hAnsi="Arial" w:cs="Arial"/>
          <w:b/>
          <w:sz w:val="24"/>
          <w:szCs w:val="24"/>
        </w:rPr>
      </w:pPr>
    </w:p>
    <w:p w14:paraId="1C10582D" w14:textId="77777777" w:rsidR="004848FD" w:rsidRDefault="004848FD">
      <w:pPr>
        <w:rPr>
          <w:rFonts w:ascii="Arial" w:hAnsi="Arial" w:cs="Arial"/>
          <w:b/>
          <w:sz w:val="24"/>
          <w:szCs w:val="24"/>
        </w:rPr>
      </w:pPr>
      <w:r>
        <w:rPr>
          <w:rFonts w:ascii="Arial" w:hAnsi="Arial" w:cs="Arial"/>
          <w:b/>
          <w:sz w:val="24"/>
          <w:szCs w:val="24"/>
        </w:rPr>
        <w:br w:type="page"/>
      </w:r>
    </w:p>
    <w:p w14:paraId="3A137532" w14:textId="77777777" w:rsidR="004848FD" w:rsidRDefault="004848FD">
      <w:pPr>
        <w:rPr>
          <w:rFonts w:ascii="Arial" w:hAnsi="Arial" w:cs="Arial"/>
          <w:b/>
          <w:sz w:val="24"/>
          <w:szCs w:val="24"/>
        </w:rPr>
      </w:pPr>
    </w:p>
    <w:p w14:paraId="1783C9B8" w14:textId="77777777" w:rsidR="004848FD" w:rsidRDefault="004848FD">
      <w:pPr>
        <w:rPr>
          <w:rFonts w:ascii="Arial" w:hAnsi="Arial" w:cs="Arial"/>
          <w:b/>
          <w:sz w:val="24"/>
          <w:szCs w:val="24"/>
        </w:rPr>
      </w:pPr>
      <w:r>
        <w:rPr>
          <w:b/>
          <w:noProof/>
          <w:sz w:val="24"/>
          <w:szCs w:val="24"/>
        </w:rPr>
        <w:drawing>
          <wp:anchor distT="0" distB="0" distL="114300" distR="114300" simplePos="0" relativeHeight="251663360" behindDoc="0" locked="0" layoutInCell="1" allowOverlap="1" wp14:anchorId="475C8C1B" wp14:editId="4477CC4A">
            <wp:simplePos x="0" y="0"/>
            <wp:positionH relativeFrom="margin">
              <wp:posOffset>5027523</wp:posOffset>
            </wp:positionH>
            <wp:positionV relativeFrom="paragraph">
              <wp:posOffset>5080</wp:posOffset>
            </wp:positionV>
            <wp:extent cx="1616710" cy="5728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C_BLACK_ON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710" cy="572816"/>
                    </a:xfrm>
                    <a:prstGeom prst="rect">
                      <a:avLst/>
                    </a:prstGeom>
                  </pic:spPr>
                </pic:pic>
              </a:graphicData>
            </a:graphic>
          </wp:anchor>
        </w:drawing>
      </w:r>
    </w:p>
    <w:p w14:paraId="35DE676B" w14:textId="699F7651" w:rsidR="008D1B09" w:rsidRPr="002D60CF" w:rsidRDefault="005A051B">
      <w:pPr>
        <w:rPr>
          <w:rFonts w:cstheme="minorHAnsi"/>
          <w:b/>
          <w:sz w:val="24"/>
          <w:szCs w:val="24"/>
        </w:rPr>
      </w:pPr>
      <w:r>
        <w:rPr>
          <w:rFonts w:cstheme="minorHAnsi"/>
          <w:b/>
          <w:sz w:val="24"/>
          <w:szCs w:val="24"/>
        </w:rPr>
        <w:t>Care to Learn Policy</w:t>
      </w:r>
    </w:p>
    <w:p w14:paraId="303249F7" w14:textId="77777777" w:rsidR="00342515" w:rsidRPr="002D60CF" w:rsidRDefault="00342515">
      <w:pPr>
        <w:rPr>
          <w:rFonts w:cstheme="minorHAnsi"/>
          <w:sz w:val="24"/>
          <w:szCs w:val="24"/>
        </w:rPr>
      </w:pPr>
      <w:r w:rsidRPr="002D60CF">
        <w:rPr>
          <w:rFonts w:cstheme="minorHAnsi"/>
          <w:noProof/>
          <w:color w:val="000000" w:themeColor="text1"/>
          <w:sz w:val="24"/>
          <w:szCs w:val="24"/>
          <w:lang w:eastAsia="en-GB"/>
        </w:rPr>
        <mc:AlternateContent>
          <mc:Choice Requires="wps">
            <w:drawing>
              <wp:anchor distT="0" distB="0" distL="0" distR="0" simplePos="0" relativeHeight="251661312" behindDoc="1" locked="0" layoutInCell="1" allowOverlap="1" wp14:anchorId="42E4FC9D" wp14:editId="1928D3C8">
                <wp:simplePos x="0" y="0"/>
                <wp:positionH relativeFrom="margin">
                  <wp:align>left</wp:align>
                </wp:positionH>
                <wp:positionV relativeFrom="paragraph">
                  <wp:posOffset>208915</wp:posOffset>
                </wp:positionV>
                <wp:extent cx="6562725" cy="792480"/>
                <wp:effectExtent l="0" t="0" r="28575" b="26670"/>
                <wp:wrapTopAndBottom/>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792480"/>
                        </a:xfrm>
                        <a:prstGeom prst="rect">
                          <a:avLst/>
                        </a:prstGeom>
                        <a:solidFill>
                          <a:srgbClr val="DBEDF4"/>
                        </a:solidFill>
                        <a:ln w="6350">
                          <a:solidFill>
                            <a:srgbClr val="000000"/>
                          </a:solidFill>
                          <a:prstDash val="solid"/>
                          <a:miter lim="800000"/>
                          <a:headEnd/>
                          <a:tailEnd/>
                        </a:ln>
                      </wps:spPr>
                      <wps:txbx>
                        <w:txbxContent>
                          <w:p w14:paraId="4E383EA1" w14:textId="0AFCB33E" w:rsidR="00342515" w:rsidRPr="00342515" w:rsidRDefault="00A93896" w:rsidP="00F35051">
                            <w:pPr>
                              <w:spacing w:before="68"/>
                              <w:ind w:left="145"/>
                              <w:jc w:val="center"/>
                              <w:rPr>
                                <w:rFonts w:ascii="Arial" w:hAnsi="Arial" w:cs="Arial"/>
                                <w:b/>
                              </w:rPr>
                            </w:pPr>
                            <w:bookmarkStart w:id="0" w:name="_Hlk171337815"/>
                            <w:bookmarkEnd w:id="0"/>
                            <w:r w:rsidRPr="00A93896">
                              <w:rPr>
                                <w:rFonts w:ascii="Arial" w:hAnsi="Arial" w:cs="Arial"/>
                                <w:b/>
                              </w:rPr>
                              <w:t xml:space="preserve">The purpose of this policy is to explain </w:t>
                            </w:r>
                            <w:r w:rsidR="005A051B">
                              <w:rPr>
                                <w:rFonts w:ascii="Arial" w:hAnsi="Arial" w:cs="Arial"/>
                                <w:b/>
                              </w:rPr>
                              <w:t>the process for applying for Care 2 Learn funded Childcare and the administration required by the College, due to new directives.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4FC9D" id="_x0000_t202" coordsize="21600,21600" o:spt="202" path="m,l,21600r21600,l21600,xe">
                <v:stroke joinstyle="miter"/>
                <v:path gradientshapeok="t" o:connecttype="rect"/>
              </v:shapetype>
              <v:shape id="Text Box 82" o:spid="_x0000_s1026" type="#_x0000_t202" style="position:absolute;margin-left:0;margin-top:16.45pt;width:516.75pt;height:62.4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IMAIAAFsEAAAOAAAAZHJzL2Uyb0RvYy54bWysVNtu2zAMfR+wfxD0vtjJmjQz4hRt0gwD&#10;ugvQ7gMYWY6FyaImKbG7ry8lJ2nRbS/D/CBQEnl0eEh6cdW3mh2k8wpNycejnDNpBFbK7Er+/WHz&#10;bs6ZD2Aq0GhkyR+l51fLt28WnS3kBBvUlXSMQIwvOlvyJgRbZJkXjWzBj9BKQ5c1uhYCbd0uqxx0&#10;hN7qbJLns6xDV1mHQnpPp+vhki8Tfl1LEb7WtZeB6ZITt5BWl9ZtXLPlAoqdA9socaQB/8CiBWXo&#10;0TPUGgKwvVO/QbVKOPRYh5HANsO6VkKmHCibcf4qm/sGrEy5kDjenmXy/w9WfDl8c0xVJZ9POTPQ&#10;Uo0eZB/YDfZsPon6dNYX5HZvyTH0dE51Trl6e4fih2cGVw2Ynbx2DrtGQkX8xjEyexE64PgIsu0+&#10;Y0XvwD5gAupr10bxSA5G6FSnx3NtIhdBh7PpbHI5IY6C7i4/TC7mqXgZFKdo63z4KLFl0Si5o9on&#10;dDjc+RDZQHFyiY951KraKK3Txu22K+3YAahP1je3681FSuCVmzasIyrvp/kgwF8h8vT9CSJSWINv&#10;hqcSiegGRasCTYJWLZXiHA1F1PPWVMklgNKDTblocxQ4ajqoG/ptT45R9S1WjyS1w6HjaULJaND9&#10;4qyjbi+5/7kHJznTnwyVK47GyXAnY3sywAgKLXngbDBXYRihvXVq1xDy0BAGr6mktUpqP7M48qQO&#10;TkU4TlsckZf75PX8T1g+AQAA//8DAFBLAwQUAAYACAAAACEAIzt1a90AAAAIAQAADwAAAGRycy9k&#10;b3ducmV2LnhtbEyPwU7DMBBE70j8g7VI3KhDQ0gb4lQICQRqLy39gG1skoh4bcVOGv6e7Qluu5rR&#10;zJtyM9teTGYInSMF94sEhKHa6Y4aBcfP17sViBCRNPaOjIIfE2BTXV+VWGh3pr2ZDrERHEKhQAVt&#10;jL6QMtStsRgWzhti7csNFiO/QyP1gGcOt71cJsmjtNgRN7TozUtr6u/DaLl3R/tt/rb1uNqN/mPK&#10;QvbwHpS6vZmfn0BEM8c/M1zwGR0qZjq5kXQQvQIeEhWkyzWIi5qkaQbixFeW5yCrUv4fUP0CAAD/&#10;/wMAUEsBAi0AFAAGAAgAAAAhALaDOJL+AAAA4QEAABMAAAAAAAAAAAAAAAAAAAAAAFtDb250ZW50&#10;X1R5cGVzXS54bWxQSwECLQAUAAYACAAAACEAOP0h/9YAAACUAQAACwAAAAAAAAAAAAAAAAAvAQAA&#10;X3JlbHMvLnJlbHNQSwECLQAUAAYACAAAACEA6f0oyDACAABbBAAADgAAAAAAAAAAAAAAAAAuAgAA&#10;ZHJzL2Uyb0RvYy54bWxQSwECLQAUAAYACAAAACEAIzt1a90AAAAIAQAADwAAAAAAAAAAAAAAAACK&#10;BAAAZHJzL2Rvd25yZXYueG1sUEsFBgAAAAAEAAQA8wAAAJQFAAAAAA==&#10;" fillcolor="#dbedf4" strokeweight=".5pt">
                <v:textbox inset="0,0,0,0">
                  <w:txbxContent>
                    <w:p w14:paraId="4E383EA1" w14:textId="0AFCB33E" w:rsidR="00342515" w:rsidRPr="00342515" w:rsidRDefault="00A93896" w:rsidP="00F35051">
                      <w:pPr>
                        <w:spacing w:before="68"/>
                        <w:ind w:left="145"/>
                        <w:jc w:val="center"/>
                        <w:rPr>
                          <w:rFonts w:ascii="Arial" w:hAnsi="Arial" w:cs="Arial"/>
                          <w:b/>
                        </w:rPr>
                      </w:pPr>
                      <w:bookmarkStart w:id="1" w:name="_Hlk171337815"/>
                      <w:bookmarkEnd w:id="1"/>
                      <w:r w:rsidRPr="00A93896">
                        <w:rPr>
                          <w:rFonts w:ascii="Arial" w:hAnsi="Arial" w:cs="Arial"/>
                          <w:b/>
                        </w:rPr>
                        <w:t xml:space="preserve">The purpose of this policy is to explain </w:t>
                      </w:r>
                      <w:r w:rsidR="005A051B">
                        <w:rPr>
                          <w:rFonts w:ascii="Arial" w:hAnsi="Arial" w:cs="Arial"/>
                          <w:b/>
                        </w:rPr>
                        <w:t>the process for applying for Care 2 Learn funded Childcare and the administration required by the College, due to new directives.</w:t>
                      </w:r>
                    </w:p>
                  </w:txbxContent>
                </v:textbox>
                <w10:wrap type="topAndBottom" anchorx="margin"/>
              </v:shape>
            </w:pict>
          </mc:Fallback>
        </mc:AlternateContent>
      </w:r>
    </w:p>
    <w:p w14:paraId="144C5742" w14:textId="77777777" w:rsidR="00342515" w:rsidRPr="002D60CF" w:rsidRDefault="00342515">
      <w:pPr>
        <w:rPr>
          <w:rFonts w:cstheme="minorHAnsi"/>
          <w:sz w:val="24"/>
          <w:szCs w:val="24"/>
        </w:rPr>
      </w:pPr>
    </w:p>
    <w:p w14:paraId="4FBC403D" w14:textId="77777777" w:rsidR="00342515" w:rsidRPr="002D60CF" w:rsidRDefault="00342515" w:rsidP="00342515">
      <w:pPr>
        <w:rPr>
          <w:rFonts w:cstheme="minorHAnsi"/>
          <w:b/>
          <w:sz w:val="24"/>
          <w:szCs w:val="24"/>
        </w:rPr>
      </w:pPr>
      <w:r w:rsidRPr="002D60CF">
        <w:rPr>
          <w:rFonts w:cstheme="minorHAnsi"/>
          <w:b/>
          <w:sz w:val="24"/>
          <w:szCs w:val="24"/>
        </w:rPr>
        <w:t>Who does this policy apply to?</w:t>
      </w:r>
    </w:p>
    <w:p w14:paraId="0CFFE9D6" w14:textId="50357937" w:rsidR="00342515" w:rsidRPr="002D60CF" w:rsidRDefault="005A051B" w:rsidP="00342515">
      <w:pPr>
        <w:pStyle w:val="BodyText"/>
        <w:spacing w:before="2"/>
        <w:ind w:right="1381"/>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This policy applies to all students under the age of 20, that require childcare provision to support their studies at the College.</w:t>
      </w:r>
    </w:p>
    <w:p w14:paraId="50BA7D2D" w14:textId="77777777" w:rsidR="00342515" w:rsidRPr="002D60CF" w:rsidRDefault="00342515" w:rsidP="00342515">
      <w:pPr>
        <w:pStyle w:val="BodyText"/>
        <w:spacing w:before="2"/>
        <w:ind w:right="1381"/>
        <w:rPr>
          <w:rFonts w:asciiTheme="minorHAnsi" w:hAnsiTheme="minorHAnsi" w:cstheme="minorHAnsi"/>
          <w:color w:val="000000" w:themeColor="text1"/>
          <w:sz w:val="24"/>
          <w:szCs w:val="24"/>
        </w:rPr>
      </w:pPr>
    </w:p>
    <w:p w14:paraId="1D60F74C" w14:textId="16EF251F" w:rsidR="00342515" w:rsidRDefault="00342515" w:rsidP="00342515">
      <w:pPr>
        <w:rPr>
          <w:rFonts w:cstheme="minorHAnsi"/>
          <w:b/>
          <w:sz w:val="24"/>
          <w:szCs w:val="24"/>
        </w:rPr>
      </w:pPr>
      <w:r w:rsidRPr="002D60CF">
        <w:rPr>
          <w:rFonts w:cstheme="minorHAnsi"/>
          <w:b/>
          <w:sz w:val="24"/>
          <w:szCs w:val="24"/>
        </w:rPr>
        <w:t>Why do we need this Policy / Background information?</w:t>
      </w:r>
    </w:p>
    <w:p w14:paraId="6F6FC71D" w14:textId="1A6F0D85" w:rsidR="00C21039" w:rsidRDefault="00C21039" w:rsidP="00342515">
      <w:pPr>
        <w:rPr>
          <w:rFonts w:cstheme="minorHAnsi"/>
          <w:bCs/>
          <w:sz w:val="24"/>
          <w:szCs w:val="24"/>
        </w:rPr>
      </w:pPr>
      <w:r>
        <w:rPr>
          <w:rFonts w:cstheme="minorHAnsi"/>
          <w:bCs/>
          <w:sz w:val="24"/>
          <w:szCs w:val="24"/>
        </w:rPr>
        <w:t xml:space="preserve">Bournemouth and Poole College will be administering funding on behalf of </w:t>
      </w:r>
      <w:r w:rsidR="00473574">
        <w:rPr>
          <w:rFonts w:cstheme="minorHAnsi"/>
          <w:bCs/>
          <w:sz w:val="24"/>
          <w:szCs w:val="24"/>
        </w:rPr>
        <w:t xml:space="preserve">the </w:t>
      </w:r>
      <w:r>
        <w:rPr>
          <w:rFonts w:cstheme="minorHAnsi"/>
          <w:bCs/>
          <w:sz w:val="24"/>
          <w:szCs w:val="24"/>
        </w:rPr>
        <w:t>Care to Learn (C2L) scheme to assist young parents with childcare funding.  This funding is paid to the college by the Secretary of State for Education.</w:t>
      </w:r>
    </w:p>
    <w:p w14:paraId="2D1A363B" w14:textId="72B0610D" w:rsidR="00C21039" w:rsidRPr="00C21039" w:rsidRDefault="00C21039" w:rsidP="00342515">
      <w:pPr>
        <w:rPr>
          <w:rFonts w:cstheme="minorHAnsi"/>
          <w:bCs/>
          <w:sz w:val="24"/>
          <w:szCs w:val="24"/>
        </w:rPr>
      </w:pPr>
      <w:r>
        <w:rPr>
          <w:rFonts w:cstheme="minorHAnsi"/>
          <w:bCs/>
          <w:sz w:val="24"/>
          <w:szCs w:val="24"/>
        </w:rPr>
        <w:t xml:space="preserve">C2L provides funding for childcare to help young parents (defined as those aged under 20) continue in education </w:t>
      </w:r>
      <w:r w:rsidR="00473574">
        <w:rPr>
          <w:rFonts w:cstheme="minorHAnsi"/>
          <w:bCs/>
          <w:sz w:val="24"/>
          <w:szCs w:val="24"/>
        </w:rPr>
        <w:t>after</w:t>
      </w:r>
      <w:r>
        <w:rPr>
          <w:rFonts w:cstheme="minorHAnsi"/>
          <w:bCs/>
          <w:sz w:val="24"/>
          <w:szCs w:val="24"/>
        </w:rPr>
        <w:t xml:space="preserve"> the birth of a child.  The scheme provides funding for childcare whilst the young parent is engaged in a study programme and is not able to provide care for their child.  It can also help the young parent with any additional travel costs involved in taking the child to the childcare provider.  C2L can also provide funding for childcare whilst young parents are on work placements, where these are </w:t>
      </w:r>
      <w:r w:rsidR="00473574">
        <w:rPr>
          <w:rFonts w:cstheme="minorHAnsi"/>
          <w:bCs/>
          <w:sz w:val="24"/>
          <w:szCs w:val="24"/>
        </w:rPr>
        <w:t xml:space="preserve">a </w:t>
      </w:r>
      <w:r>
        <w:rPr>
          <w:rFonts w:cstheme="minorHAnsi"/>
          <w:bCs/>
          <w:sz w:val="24"/>
          <w:szCs w:val="24"/>
        </w:rPr>
        <w:t>defined part of the study programme.</w:t>
      </w:r>
    </w:p>
    <w:p w14:paraId="7B6051FE" w14:textId="5322DE60" w:rsidR="00026CFE" w:rsidRPr="00C21039" w:rsidRDefault="00C21039" w:rsidP="00026CFE">
      <w:pPr>
        <w:rPr>
          <w:rFonts w:eastAsia="Arial" w:cstheme="minorHAnsi"/>
          <w:b/>
          <w:bCs/>
          <w:color w:val="000000" w:themeColor="text1"/>
          <w:sz w:val="24"/>
          <w:szCs w:val="24"/>
          <w:lang w:val="en-US"/>
        </w:rPr>
      </w:pPr>
      <w:r>
        <w:rPr>
          <w:rFonts w:eastAsia="Arial" w:cstheme="minorHAnsi"/>
          <w:b/>
          <w:bCs/>
          <w:color w:val="000000" w:themeColor="text1"/>
          <w:sz w:val="24"/>
          <w:szCs w:val="24"/>
          <w:lang w:val="en-US"/>
        </w:rPr>
        <w:t>Student Eligibility Criteria and Award</w:t>
      </w:r>
    </w:p>
    <w:p w14:paraId="393666C6" w14:textId="654FEDCB" w:rsidR="00342515" w:rsidRDefault="00C21039" w:rsidP="00026CFE">
      <w:pPr>
        <w:rPr>
          <w:rFonts w:eastAsia="Arial" w:cstheme="minorHAnsi"/>
          <w:color w:val="000000" w:themeColor="text1"/>
          <w:sz w:val="24"/>
          <w:szCs w:val="24"/>
          <w:lang w:val="en-US"/>
        </w:rPr>
      </w:pPr>
      <w:r>
        <w:rPr>
          <w:rFonts w:eastAsia="Arial" w:cstheme="minorHAnsi"/>
          <w:color w:val="000000" w:themeColor="text1"/>
          <w:sz w:val="24"/>
          <w:szCs w:val="24"/>
          <w:lang w:val="en-US"/>
        </w:rPr>
        <w:t>For the student to be eligible for Care to Learn funding they</w:t>
      </w:r>
      <w:r w:rsidR="00473574">
        <w:rPr>
          <w:rFonts w:eastAsia="Arial" w:cstheme="minorHAnsi"/>
          <w:color w:val="000000" w:themeColor="text1"/>
          <w:sz w:val="24"/>
          <w:szCs w:val="24"/>
          <w:lang w:val="en-US"/>
        </w:rPr>
        <w:t xml:space="preserve"> must</w:t>
      </w:r>
      <w:r>
        <w:rPr>
          <w:rFonts w:eastAsia="Arial" w:cstheme="minorHAnsi"/>
          <w:color w:val="000000" w:themeColor="text1"/>
          <w:sz w:val="24"/>
          <w:szCs w:val="24"/>
          <w:lang w:val="en-US"/>
        </w:rPr>
        <w:t xml:space="preserve"> meet the following criteria:</w:t>
      </w:r>
    </w:p>
    <w:p w14:paraId="315B2E2B" w14:textId="5C7D569A" w:rsidR="00C21039" w:rsidRDefault="00C21039" w:rsidP="00026CFE">
      <w:pPr>
        <w:rPr>
          <w:rFonts w:eastAsia="Arial" w:cstheme="minorHAnsi"/>
          <w:color w:val="000000" w:themeColor="text1"/>
          <w:sz w:val="24"/>
          <w:szCs w:val="24"/>
          <w:lang w:val="en-US"/>
        </w:rPr>
      </w:pPr>
      <w:r>
        <w:rPr>
          <w:rFonts w:eastAsia="Arial" w:cstheme="minorHAnsi"/>
          <w:color w:val="000000" w:themeColor="text1"/>
          <w:sz w:val="24"/>
          <w:szCs w:val="24"/>
          <w:lang w:val="en-US"/>
        </w:rPr>
        <w:t>The young parent must be under 20 years old on the date that they start their study programmes.  Young parents who become 20 years old during their study programme can continue to get funding to the end of that specific study programme, so to the end of the same programme at the same level.</w:t>
      </w:r>
    </w:p>
    <w:p w14:paraId="4F702F4E" w14:textId="49EFAE57" w:rsidR="00C21039" w:rsidRDefault="00C21039" w:rsidP="00026CFE">
      <w:pPr>
        <w:rPr>
          <w:rFonts w:eastAsia="Arial" w:cstheme="minorHAnsi"/>
          <w:color w:val="000000" w:themeColor="text1"/>
          <w:sz w:val="24"/>
          <w:szCs w:val="24"/>
          <w:lang w:val="en-US"/>
        </w:rPr>
      </w:pPr>
      <w:r>
        <w:rPr>
          <w:rFonts w:eastAsia="Arial" w:cstheme="minorHAnsi"/>
          <w:color w:val="000000" w:themeColor="text1"/>
          <w:sz w:val="24"/>
          <w:szCs w:val="24"/>
          <w:lang w:val="en-US"/>
        </w:rPr>
        <w:t>The young parent must be the main carer and in receipt</w:t>
      </w:r>
      <w:r w:rsidR="003940A4">
        <w:rPr>
          <w:rFonts w:eastAsia="Arial" w:cstheme="minorHAnsi"/>
          <w:color w:val="000000" w:themeColor="text1"/>
          <w:sz w:val="24"/>
          <w:szCs w:val="24"/>
          <w:lang w:val="en-US"/>
        </w:rPr>
        <w:t xml:space="preserve"> of Child </w:t>
      </w:r>
      <w:r w:rsidR="00473574">
        <w:rPr>
          <w:rFonts w:eastAsia="Arial" w:cstheme="minorHAnsi"/>
          <w:color w:val="000000" w:themeColor="text1"/>
          <w:sz w:val="24"/>
          <w:szCs w:val="24"/>
          <w:lang w:val="en-US"/>
        </w:rPr>
        <w:t>B</w:t>
      </w:r>
      <w:r w:rsidR="003940A4">
        <w:rPr>
          <w:rFonts w:eastAsia="Arial" w:cstheme="minorHAnsi"/>
          <w:color w:val="000000" w:themeColor="text1"/>
          <w:sz w:val="24"/>
          <w:szCs w:val="24"/>
          <w:lang w:val="en-US"/>
        </w:rPr>
        <w:t>enefit for the child(ren) for whom they are claiming Care to Learn.  If a young parent loses custody of their child(ren), even temporarily, they must notify the college immediately.  The mother or father can claim C2L, as long as:</w:t>
      </w:r>
    </w:p>
    <w:p w14:paraId="1E729F70" w14:textId="67BC46D0" w:rsidR="003940A4" w:rsidRDefault="003940A4" w:rsidP="003940A4">
      <w:pPr>
        <w:pStyle w:val="ListParagraph"/>
        <w:numPr>
          <w:ilvl w:val="0"/>
          <w:numId w:val="12"/>
        </w:numPr>
        <w:rPr>
          <w:rFonts w:asciiTheme="minorHAnsi" w:hAnsiTheme="minorHAnsi" w:cstheme="minorHAnsi"/>
          <w:color w:val="000000" w:themeColor="text1"/>
          <w:sz w:val="24"/>
          <w:szCs w:val="24"/>
        </w:rPr>
      </w:pPr>
      <w:r w:rsidRPr="003940A4">
        <w:rPr>
          <w:rFonts w:asciiTheme="minorHAnsi" w:hAnsiTheme="minorHAnsi" w:cstheme="minorHAnsi"/>
          <w:color w:val="000000" w:themeColor="text1"/>
          <w:sz w:val="24"/>
          <w:szCs w:val="24"/>
        </w:rPr>
        <w:t>The other parent is unable to provide childcare, for example</w:t>
      </w:r>
      <w:r>
        <w:rPr>
          <w:rFonts w:asciiTheme="minorHAnsi" w:hAnsiTheme="minorHAnsi" w:cstheme="minorHAnsi"/>
          <w:color w:val="000000" w:themeColor="text1"/>
          <w:sz w:val="24"/>
          <w:szCs w:val="24"/>
        </w:rPr>
        <w:t>, they are also in education or are absent; or</w:t>
      </w:r>
    </w:p>
    <w:p w14:paraId="3CF580AA" w14:textId="5F61B448" w:rsidR="003940A4" w:rsidRDefault="003940A4" w:rsidP="003940A4">
      <w:pPr>
        <w:pStyle w:val="ListParagraph"/>
        <w:numPr>
          <w:ilvl w:val="0"/>
          <w:numId w:val="12"/>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other parent is not claiming childcare paid through any other source, for example, government funded early years places or Childcare Tax Credits</w:t>
      </w:r>
    </w:p>
    <w:p w14:paraId="424E1D46" w14:textId="77777777" w:rsidR="003940A4" w:rsidRDefault="003940A4" w:rsidP="003940A4">
      <w:pPr>
        <w:pStyle w:val="ListParagraph"/>
        <w:ind w:left="720" w:firstLine="0"/>
        <w:rPr>
          <w:rFonts w:asciiTheme="minorHAnsi" w:hAnsiTheme="minorHAnsi" w:cstheme="minorHAnsi"/>
          <w:color w:val="000000" w:themeColor="text1"/>
          <w:sz w:val="24"/>
          <w:szCs w:val="24"/>
        </w:rPr>
      </w:pPr>
    </w:p>
    <w:p w14:paraId="35EBDA0D" w14:textId="5CC949F0" w:rsidR="003940A4" w:rsidRDefault="003940A4" w:rsidP="003940A4">
      <w:pPr>
        <w:rPr>
          <w:rFonts w:cstheme="minorHAnsi"/>
          <w:color w:val="000000" w:themeColor="text1"/>
          <w:sz w:val="24"/>
          <w:szCs w:val="24"/>
        </w:rPr>
      </w:pPr>
      <w:r>
        <w:rPr>
          <w:rFonts w:cstheme="minorHAnsi"/>
          <w:color w:val="000000" w:themeColor="text1"/>
          <w:sz w:val="24"/>
          <w:szCs w:val="24"/>
        </w:rPr>
        <w:t>Young parents must be living and studying in England to receive C2L.  National rate is £180 per child per week.</w:t>
      </w:r>
    </w:p>
    <w:p w14:paraId="312655CE" w14:textId="77777777" w:rsidR="00F35051" w:rsidRDefault="00F35051" w:rsidP="003940A4">
      <w:pPr>
        <w:rPr>
          <w:rFonts w:cstheme="minorHAnsi"/>
          <w:color w:val="000000" w:themeColor="text1"/>
          <w:sz w:val="24"/>
          <w:szCs w:val="24"/>
        </w:rPr>
      </w:pPr>
    </w:p>
    <w:p w14:paraId="6C0F8EEB" w14:textId="76EA453A" w:rsidR="003940A4" w:rsidRDefault="003940A4" w:rsidP="003940A4">
      <w:pPr>
        <w:rPr>
          <w:rFonts w:cstheme="minorHAnsi"/>
          <w:b/>
          <w:bCs/>
          <w:color w:val="000000" w:themeColor="text1"/>
          <w:sz w:val="24"/>
          <w:szCs w:val="24"/>
        </w:rPr>
      </w:pPr>
      <w:r>
        <w:rPr>
          <w:rFonts w:cstheme="minorHAnsi"/>
          <w:b/>
          <w:bCs/>
          <w:color w:val="000000" w:themeColor="text1"/>
          <w:sz w:val="24"/>
          <w:szCs w:val="24"/>
        </w:rPr>
        <w:lastRenderedPageBreak/>
        <w:t>Residency</w:t>
      </w:r>
    </w:p>
    <w:p w14:paraId="146EAE32" w14:textId="44E9158C" w:rsidR="003940A4" w:rsidRDefault="00473574" w:rsidP="003940A4">
      <w:pPr>
        <w:rPr>
          <w:rFonts w:cstheme="minorHAnsi"/>
          <w:color w:val="000000" w:themeColor="text1"/>
          <w:sz w:val="24"/>
          <w:szCs w:val="24"/>
        </w:rPr>
      </w:pPr>
      <w:r>
        <w:rPr>
          <w:rFonts w:cstheme="minorHAnsi"/>
          <w:color w:val="000000" w:themeColor="text1"/>
          <w:sz w:val="24"/>
          <w:szCs w:val="24"/>
        </w:rPr>
        <w:t>The s</w:t>
      </w:r>
      <w:r w:rsidR="003940A4">
        <w:rPr>
          <w:rFonts w:cstheme="minorHAnsi"/>
          <w:color w:val="000000" w:themeColor="text1"/>
          <w:sz w:val="24"/>
          <w:szCs w:val="24"/>
        </w:rPr>
        <w:t>tudent must also meet the Residency Criteria in the D</w:t>
      </w:r>
      <w:r w:rsidR="009917BC">
        <w:rPr>
          <w:rFonts w:cstheme="minorHAnsi"/>
          <w:color w:val="000000" w:themeColor="text1"/>
          <w:sz w:val="24"/>
          <w:szCs w:val="24"/>
        </w:rPr>
        <w:t xml:space="preserve">epartment of </w:t>
      </w:r>
      <w:r w:rsidR="003940A4">
        <w:rPr>
          <w:rFonts w:cstheme="minorHAnsi"/>
          <w:color w:val="000000" w:themeColor="text1"/>
          <w:sz w:val="24"/>
          <w:szCs w:val="24"/>
        </w:rPr>
        <w:t>E</w:t>
      </w:r>
      <w:r w:rsidR="009917BC">
        <w:rPr>
          <w:rFonts w:cstheme="minorHAnsi"/>
          <w:color w:val="000000" w:themeColor="text1"/>
          <w:sz w:val="24"/>
          <w:szCs w:val="24"/>
        </w:rPr>
        <w:t>ducation</w:t>
      </w:r>
      <w:r w:rsidR="003940A4">
        <w:rPr>
          <w:rFonts w:cstheme="minorHAnsi"/>
          <w:color w:val="000000" w:themeColor="text1"/>
          <w:sz w:val="24"/>
          <w:szCs w:val="24"/>
        </w:rPr>
        <w:t xml:space="preserve"> funding rules </w:t>
      </w:r>
      <w:hyperlink r:id="rId9" w:history="1">
        <w:r w:rsidR="003940A4" w:rsidRPr="003940A4">
          <w:rPr>
            <w:rStyle w:val="Hyperlink"/>
            <w:rFonts w:cstheme="minorHAnsi"/>
            <w:sz w:val="24"/>
            <w:szCs w:val="24"/>
          </w:rPr>
          <w:t>DfE funding rules</w:t>
        </w:r>
      </w:hyperlink>
    </w:p>
    <w:p w14:paraId="1F71A43F" w14:textId="765DC0E7" w:rsidR="003940A4" w:rsidRDefault="003940A4" w:rsidP="003940A4">
      <w:pPr>
        <w:rPr>
          <w:rFonts w:cstheme="minorHAnsi"/>
          <w:color w:val="000000" w:themeColor="text1"/>
          <w:sz w:val="24"/>
          <w:szCs w:val="24"/>
        </w:rPr>
      </w:pPr>
      <w:r>
        <w:rPr>
          <w:rFonts w:cstheme="minorHAnsi"/>
          <w:color w:val="000000" w:themeColor="text1"/>
          <w:sz w:val="24"/>
          <w:szCs w:val="24"/>
        </w:rPr>
        <w:t>Accompanied asylum seeking children (under 18 with an adult relative or partner)</w:t>
      </w:r>
    </w:p>
    <w:p w14:paraId="05BE6744" w14:textId="0F689D38" w:rsidR="003940A4" w:rsidRDefault="003940A4" w:rsidP="003940A4">
      <w:pPr>
        <w:rPr>
          <w:rFonts w:cstheme="minorHAnsi"/>
          <w:color w:val="000000" w:themeColor="text1"/>
          <w:sz w:val="24"/>
          <w:szCs w:val="24"/>
        </w:rPr>
      </w:pPr>
      <w:r>
        <w:rPr>
          <w:rFonts w:cstheme="minorHAnsi"/>
          <w:color w:val="000000" w:themeColor="text1"/>
          <w:sz w:val="24"/>
          <w:szCs w:val="24"/>
        </w:rPr>
        <w:t>Asylum seekers are not entitled to public funds.  Accompanied asylum seeking children (those under 18 with an adult relative or partner) and those aged 18 and above are entitled to education, but not to publ</w:t>
      </w:r>
      <w:r w:rsidR="009D5949">
        <w:rPr>
          <w:rFonts w:cstheme="minorHAnsi"/>
          <w:color w:val="000000" w:themeColor="text1"/>
          <w:sz w:val="24"/>
          <w:szCs w:val="24"/>
        </w:rPr>
        <w:t xml:space="preserve">ic funds.  If they are </w:t>
      </w:r>
      <w:r w:rsidR="00336E3A">
        <w:rPr>
          <w:rFonts w:cstheme="minorHAnsi"/>
          <w:color w:val="000000" w:themeColor="text1"/>
          <w:sz w:val="24"/>
          <w:szCs w:val="24"/>
        </w:rPr>
        <w:t>destitute,</w:t>
      </w:r>
      <w:r w:rsidR="009D5949">
        <w:rPr>
          <w:rFonts w:cstheme="minorHAnsi"/>
          <w:color w:val="000000" w:themeColor="text1"/>
          <w:sz w:val="24"/>
          <w:szCs w:val="24"/>
        </w:rPr>
        <w:t xml:space="preserve"> they can apply to the Home </w:t>
      </w:r>
      <w:r w:rsidR="00336E3A">
        <w:rPr>
          <w:rFonts w:cstheme="minorHAnsi"/>
          <w:color w:val="000000" w:themeColor="text1"/>
          <w:sz w:val="24"/>
          <w:szCs w:val="24"/>
        </w:rPr>
        <w:t>O</w:t>
      </w:r>
      <w:r w:rsidR="009D5949">
        <w:rPr>
          <w:rFonts w:cstheme="minorHAnsi"/>
          <w:color w:val="000000" w:themeColor="text1"/>
          <w:sz w:val="24"/>
          <w:szCs w:val="24"/>
        </w:rPr>
        <w:t>ffice for suitable housing and cash for essentials, they are not eligible for other income.</w:t>
      </w:r>
    </w:p>
    <w:p w14:paraId="78219F3C" w14:textId="4ACC82BC" w:rsidR="009D5949" w:rsidRDefault="009D5949" w:rsidP="003940A4">
      <w:pPr>
        <w:rPr>
          <w:rFonts w:cstheme="minorHAnsi"/>
          <w:color w:val="000000" w:themeColor="text1"/>
          <w:sz w:val="24"/>
          <w:szCs w:val="24"/>
        </w:rPr>
      </w:pPr>
      <w:r>
        <w:rPr>
          <w:rFonts w:cstheme="minorHAnsi"/>
          <w:color w:val="000000" w:themeColor="text1"/>
          <w:sz w:val="24"/>
          <w:szCs w:val="24"/>
        </w:rPr>
        <w:t>Unaccompanied asylum-seeking children (UASC)</w:t>
      </w:r>
    </w:p>
    <w:p w14:paraId="22C032E1" w14:textId="19F44C02" w:rsidR="009D5949" w:rsidRDefault="009D5949" w:rsidP="003940A4">
      <w:pPr>
        <w:rPr>
          <w:rFonts w:cstheme="minorHAnsi"/>
          <w:color w:val="000000" w:themeColor="text1"/>
          <w:sz w:val="24"/>
          <w:szCs w:val="24"/>
        </w:rPr>
      </w:pPr>
      <w:r>
        <w:rPr>
          <w:rFonts w:cstheme="minorHAnsi"/>
          <w:color w:val="000000" w:themeColor="text1"/>
          <w:sz w:val="24"/>
          <w:szCs w:val="24"/>
        </w:rPr>
        <w:t>UASC do not receive cash support from the H</w:t>
      </w:r>
      <w:r w:rsidR="00473574">
        <w:rPr>
          <w:rFonts w:cstheme="minorHAnsi"/>
          <w:color w:val="000000" w:themeColor="text1"/>
          <w:sz w:val="24"/>
          <w:szCs w:val="24"/>
        </w:rPr>
        <w:t xml:space="preserve">ome </w:t>
      </w:r>
      <w:r>
        <w:rPr>
          <w:rFonts w:cstheme="minorHAnsi"/>
          <w:color w:val="000000" w:themeColor="text1"/>
          <w:sz w:val="24"/>
          <w:szCs w:val="24"/>
        </w:rPr>
        <w:t>O</w:t>
      </w:r>
      <w:r w:rsidR="00473574">
        <w:rPr>
          <w:rFonts w:cstheme="minorHAnsi"/>
          <w:color w:val="000000" w:themeColor="text1"/>
          <w:sz w:val="24"/>
          <w:szCs w:val="24"/>
        </w:rPr>
        <w:t>ffice</w:t>
      </w:r>
      <w:r>
        <w:rPr>
          <w:rFonts w:cstheme="minorHAnsi"/>
          <w:color w:val="000000" w:themeColor="text1"/>
          <w:sz w:val="24"/>
          <w:szCs w:val="24"/>
        </w:rPr>
        <w:t xml:space="preserve"> and the responsibility of the local authority.  They are treated as looked after children and are eligible for a bursary for vulnerable groups, where they have financial need.</w:t>
      </w:r>
    </w:p>
    <w:p w14:paraId="0D6C0EE5" w14:textId="2310FBB8" w:rsidR="009D5949" w:rsidRPr="00336E3A" w:rsidRDefault="009D5949" w:rsidP="003940A4">
      <w:pPr>
        <w:rPr>
          <w:rFonts w:eastAsia="Arial" w:cstheme="minorHAnsi"/>
          <w:color w:val="000000" w:themeColor="text1"/>
          <w:sz w:val="24"/>
          <w:szCs w:val="24"/>
          <w:lang w:val="en-US"/>
        </w:rPr>
      </w:pPr>
      <w:r>
        <w:rPr>
          <w:rFonts w:cstheme="minorHAnsi"/>
          <w:color w:val="000000" w:themeColor="text1"/>
          <w:sz w:val="24"/>
          <w:szCs w:val="24"/>
        </w:rPr>
        <w:t xml:space="preserve">When these young people reach legal adulthood at age 18, institutions must consider their immigration status.  If the asylum claim is decided in their favour, the local authority must provide then with the same support and services as they do care leavers.  As such, they continue to be eligible for a bursary as </w:t>
      </w:r>
      <w:r w:rsidRPr="00336E3A">
        <w:rPr>
          <w:rFonts w:eastAsia="Arial" w:cstheme="minorHAnsi"/>
          <w:color w:val="000000" w:themeColor="text1"/>
          <w:sz w:val="24"/>
          <w:szCs w:val="24"/>
          <w:lang w:val="en-US"/>
        </w:rPr>
        <w:t>a student from a vulnerable group until they reach the upper age limit.</w:t>
      </w:r>
    </w:p>
    <w:p w14:paraId="5D95935D" w14:textId="1AE49066" w:rsidR="009D5949" w:rsidRPr="00336E3A" w:rsidRDefault="009D5949" w:rsidP="003940A4">
      <w:pPr>
        <w:rPr>
          <w:rFonts w:eastAsia="Arial" w:cstheme="minorHAnsi"/>
          <w:color w:val="000000" w:themeColor="text1"/>
          <w:sz w:val="24"/>
          <w:szCs w:val="24"/>
          <w:lang w:val="en-US"/>
        </w:rPr>
      </w:pPr>
      <w:r w:rsidRPr="00336E3A">
        <w:rPr>
          <w:rFonts w:eastAsia="Arial" w:cstheme="minorHAnsi"/>
          <w:color w:val="000000" w:themeColor="text1"/>
          <w:sz w:val="24"/>
          <w:szCs w:val="24"/>
          <w:lang w:val="en-US"/>
        </w:rPr>
        <w:t>When an asylum claim is not supported, the individual may not be able to claim to stay legally in the UK.   When asylum claims have been fully heard/the appeals process exhausted an individual has no entitlement to public funds (with a few exceptions where the withdrawal of support would be seen as a breach of human rights).</w:t>
      </w:r>
    </w:p>
    <w:p w14:paraId="4D84499C" w14:textId="3BAEB305" w:rsidR="009D5949" w:rsidRPr="00473574" w:rsidRDefault="009D5949" w:rsidP="003940A4">
      <w:pPr>
        <w:rPr>
          <w:rFonts w:eastAsia="Arial" w:cstheme="minorHAnsi"/>
          <w:b/>
          <w:color w:val="000000" w:themeColor="text1"/>
          <w:sz w:val="24"/>
          <w:szCs w:val="24"/>
          <w:lang w:val="en-US"/>
        </w:rPr>
      </w:pPr>
      <w:r w:rsidRPr="00473574">
        <w:rPr>
          <w:rFonts w:eastAsia="Arial" w:cstheme="minorHAnsi"/>
          <w:b/>
          <w:color w:val="000000" w:themeColor="text1"/>
          <w:sz w:val="24"/>
          <w:szCs w:val="24"/>
          <w:lang w:val="en-US"/>
        </w:rPr>
        <w:t>Study Programme</w:t>
      </w:r>
    </w:p>
    <w:p w14:paraId="381697AA" w14:textId="72653CBA" w:rsidR="009D5949" w:rsidRPr="00336E3A" w:rsidRDefault="009D5949" w:rsidP="003940A4">
      <w:pPr>
        <w:rPr>
          <w:rFonts w:eastAsia="Arial" w:cstheme="minorHAnsi"/>
          <w:color w:val="000000" w:themeColor="text1"/>
          <w:sz w:val="24"/>
          <w:szCs w:val="24"/>
          <w:lang w:val="en-US"/>
        </w:rPr>
      </w:pPr>
      <w:r w:rsidRPr="00336E3A">
        <w:rPr>
          <w:rFonts w:eastAsia="Arial" w:cstheme="minorHAnsi"/>
          <w:color w:val="000000" w:themeColor="text1"/>
          <w:sz w:val="24"/>
          <w:szCs w:val="24"/>
          <w:lang w:val="en-US"/>
        </w:rPr>
        <w:t>The student’s study programme must be funded directly from public funding</w:t>
      </w:r>
    </w:p>
    <w:p w14:paraId="30D7AEC5" w14:textId="3F8DF785" w:rsidR="009D5949" w:rsidRPr="00336E3A" w:rsidRDefault="009D5949" w:rsidP="009D5949">
      <w:pPr>
        <w:pStyle w:val="ListParagraph"/>
        <w:numPr>
          <w:ilvl w:val="0"/>
          <w:numId w:val="13"/>
        </w:numPr>
        <w:rPr>
          <w:rFonts w:asciiTheme="minorHAnsi" w:hAnsiTheme="minorHAnsi" w:cstheme="minorHAnsi"/>
          <w:color w:val="000000" w:themeColor="text1"/>
          <w:sz w:val="24"/>
          <w:szCs w:val="24"/>
        </w:rPr>
      </w:pPr>
      <w:r w:rsidRPr="00336E3A">
        <w:rPr>
          <w:rFonts w:asciiTheme="minorHAnsi" w:hAnsiTheme="minorHAnsi" w:cstheme="minorHAnsi"/>
          <w:color w:val="000000" w:themeColor="text1"/>
          <w:sz w:val="24"/>
          <w:szCs w:val="24"/>
        </w:rPr>
        <w:t>The types of study programmes eligible are:</w:t>
      </w:r>
    </w:p>
    <w:p w14:paraId="445D87BA" w14:textId="4CFB9119" w:rsidR="009D5949" w:rsidRPr="00336E3A" w:rsidRDefault="009D5949" w:rsidP="009D5949">
      <w:pPr>
        <w:pStyle w:val="ListParagraph"/>
        <w:numPr>
          <w:ilvl w:val="1"/>
          <w:numId w:val="13"/>
        </w:numPr>
        <w:rPr>
          <w:rFonts w:asciiTheme="minorHAnsi" w:hAnsiTheme="minorHAnsi" w:cstheme="minorHAnsi"/>
          <w:color w:val="000000" w:themeColor="text1"/>
          <w:sz w:val="24"/>
          <w:szCs w:val="24"/>
        </w:rPr>
      </w:pPr>
      <w:r w:rsidRPr="00336E3A">
        <w:rPr>
          <w:rFonts w:asciiTheme="minorHAnsi" w:hAnsiTheme="minorHAnsi" w:cstheme="minorHAnsi"/>
          <w:color w:val="000000" w:themeColor="text1"/>
          <w:sz w:val="24"/>
          <w:szCs w:val="24"/>
        </w:rPr>
        <w:t>GCSEs, A levels and BTECs;</w:t>
      </w:r>
    </w:p>
    <w:p w14:paraId="207A0DD4" w14:textId="69FA48EA" w:rsidR="009D5949" w:rsidRPr="00336E3A" w:rsidRDefault="009D5949" w:rsidP="009D5949">
      <w:pPr>
        <w:pStyle w:val="ListParagraph"/>
        <w:numPr>
          <w:ilvl w:val="1"/>
          <w:numId w:val="13"/>
        </w:numPr>
        <w:rPr>
          <w:rFonts w:asciiTheme="minorHAnsi" w:hAnsiTheme="minorHAnsi" w:cstheme="minorHAnsi"/>
          <w:color w:val="000000" w:themeColor="text1"/>
          <w:sz w:val="24"/>
          <w:szCs w:val="24"/>
        </w:rPr>
      </w:pPr>
      <w:r w:rsidRPr="00336E3A">
        <w:rPr>
          <w:rFonts w:asciiTheme="minorHAnsi" w:hAnsiTheme="minorHAnsi" w:cstheme="minorHAnsi"/>
          <w:color w:val="000000" w:themeColor="text1"/>
          <w:sz w:val="24"/>
          <w:szCs w:val="24"/>
        </w:rPr>
        <w:t>Non accredited day sessions and short programmes such as First Aid, Healthy Eating and Parenting</w:t>
      </w:r>
    </w:p>
    <w:p w14:paraId="7BA83AF5" w14:textId="4A77BF59" w:rsidR="009D5949" w:rsidRPr="00336E3A" w:rsidRDefault="009D5949" w:rsidP="009D5949">
      <w:pPr>
        <w:pStyle w:val="ListParagraph"/>
        <w:numPr>
          <w:ilvl w:val="1"/>
          <w:numId w:val="13"/>
        </w:numPr>
        <w:rPr>
          <w:rFonts w:asciiTheme="minorHAnsi" w:hAnsiTheme="minorHAnsi" w:cstheme="minorHAnsi"/>
          <w:color w:val="000000" w:themeColor="text1"/>
          <w:sz w:val="24"/>
          <w:szCs w:val="24"/>
        </w:rPr>
      </w:pPr>
      <w:r w:rsidRPr="00336E3A">
        <w:rPr>
          <w:rFonts w:asciiTheme="minorHAnsi" w:hAnsiTheme="minorHAnsi" w:cstheme="minorHAnsi"/>
          <w:color w:val="000000" w:themeColor="text1"/>
          <w:sz w:val="24"/>
          <w:szCs w:val="24"/>
        </w:rPr>
        <w:t>FE</w:t>
      </w:r>
      <w:r w:rsidR="00336E3A" w:rsidRPr="00336E3A">
        <w:rPr>
          <w:rFonts w:asciiTheme="minorHAnsi" w:hAnsiTheme="minorHAnsi" w:cstheme="minorHAnsi"/>
          <w:color w:val="000000" w:themeColor="text1"/>
          <w:sz w:val="24"/>
          <w:szCs w:val="24"/>
        </w:rPr>
        <w:t xml:space="preserve"> study</w:t>
      </w:r>
      <w:r w:rsidRPr="00336E3A">
        <w:rPr>
          <w:rFonts w:asciiTheme="minorHAnsi" w:hAnsiTheme="minorHAnsi" w:cstheme="minorHAnsi"/>
          <w:color w:val="000000" w:themeColor="text1"/>
          <w:sz w:val="24"/>
          <w:szCs w:val="24"/>
        </w:rPr>
        <w:t xml:space="preserve"> programme</w:t>
      </w:r>
      <w:r w:rsidR="00336E3A" w:rsidRPr="00336E3A">
        <w:rPr>
          <w:rFonts w:asciiTheme="minorHAnsi" w:hAnsiTheme="minorHAnsi" w:cstheme="minorHAnsi"/>
          <w:color w:val="000000" w:themeColor="text1"/>
          <w:sz w:val="24"/>
          <w:szCs w:val="24"/>
        </w:rPr>
        <w:t xml:space="preserve"> in Higher Education (H) institution, including access courses and diplomas</w:t>
      </w:r>
    </w:p>
    <w:p w14:paraId="6EF4A321" w14:textId="0F051CC0" w:rsidR="00336E3A" w:rsidRPr="00336E3A" w:rsidRDefault="00336E3A" w:rsidP="009D5949">
      <w:pPr>
        <w:pStyle w:val="ListParagraph"/>
        <w:numPr>
          <w:ilvl w:val="1"/>
          <w:numId w:val="13"/>
        </w:numPr>
        <w:rPr>
          <w:rFonts w:asciiTheme="minorHAnsi" w:hAnsiTheme="minorHAnsi" w:cstheme="minorHAnsi"/>
          <w:color w:val="000000" w:themeColor="text1"/>
          <w:sz w:val="24"/>
          <w:szCs w:val="24"/>
        </w:rPr>
      </w:pPr>
      <w:r w:rsidRPr="00336E3A">
        <w:rPr>
          <w:rFonts w:asciiTheme="minorHAnsi" w:hAnsiTheme="minorHAnsi" w:cstheme="minorHAnsi"/>
          <w:color w:val="000000" w:themeColor="text1"/>
          <w:sz w:val="24"/>
          <w:szCs w:val="24"/>
        </w:rPr>
        <w:t xml:space="preserve">Foundation HE courses where they are followed at an FE institution for example, a BTEC diploma  </w:t>
      </w:r>
    </w:p>
    <w:p w14:paraId="522CAFDD" w14:textId="1A8AD23D" w:rsidR="00336E3A" w:rsidRPr="00336E3A" w:rsidRDefault="00336E3A" w:rsidP="00336E3A">
      <w:pPr>
        <w:pStyle w:val="ListParagraph"/>
        <w:numPr>
          <w:ilvl w:val="0"/>
          <w:numId w:val="1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following study programmes are NOT eligible for C2L:</w:t>
      </w:r>
    </w:p>
    <w:p w14:paraId="5AB02ADA" w14:textId="7FFF7812" w:rsidR="00336E3A" w:rsidRDefault="00336E3A" w:rsidP="00336E3A">
      <w:pPr>
        <w:pStyle w:val="ListParagraph"/>
        <w:numPr>
          <w:ilvl w:val="1"/>
          <w:numId w:val="1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336E3A">
        <w:rPr>
          <w:rFonts w:asciiTheme="minorHAnsi" w:hAnsiTheme="minorHAnsi" w:cstheme="minorHAnsi"/>
          <w:color w:val="000000" w:themeColor="text1"/>
          <w:sz w:val="24"/>
          <w:szCs w:val="24"/>
        </w:rPr>
        <w:t xml:space="preserve">rivately funded education, so an institution where students </w:t>
      </w:r>
      <w:r>
        <w:rPr>
          <w:rFonts w:asciiTheme="minorHAnsi" w:hAnsiTheme="minorHAnsi" w:cstheme="minorHAnsi"/>
          <w:color w:val="000000" w:themeColor="text1"/>
          <w:sz w:val="24"/>
          <w:szCs w:val="24"/>
        </w:rPr>
        <w:t>are required to pay tuition fees</w:t>
      </w:r>
    </w:p>
    <w:p w14:paraId="6CCE439C" w14:textId="691F99A1" w:rsidR="00336E3A" w:rsidRDefault="00336E3A" w:rsidP="00336E3A">
      <w:pPr>
        <w:pStyle w:val="ListParagraph"/>
        <w:numPr>
          <w:ilvl w:val="1"/>
          <w:numId w:val="1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voluntary work that is not a required part of an agreed study programme</w:t>
      </w:r>
    </w:p>
    <w:p w14:paraId="03F1B6F5" w14:textId="69A3A1AF" w:rsidR="00336E3A" w:rsidRDefault="00336E3A" w:rsidP="00336E3A">
      <w:pPr>
        <w:pStyle w:val="ListParagraph"/>
        <w:numPr>
          <w:ilvl w:val="1"/>
          <w:numId w:val="1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apprentices, because apprentices are paid by their employer</w:t>
      </w:r>
    </w:p>
    <w:p w14:paraId="457EB102" w14:textId="22CAB297" w:rsidR="00336E3A" w:rsidRDefault="00336E3A" w:rsidP="00336E3A">
      <w:pPr>
        <w:pStyle w:val="ListParagraph"/>
        <w:numPr>
          <w:ilvl w:val="1"/>
          <w:numId w:val="1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HE courses in an HE institution or FE institution, including courses leading to a first degree, HND, HNC diploma in HE, foundation degree or initial teacher training</w:t>
      </w:r>
    </w:p>
    <w:p w14:paraId="553216AF" w14:textId="437EC2B1" w:rsidR="00336E3A" w:rsidRDefault="00336E3A" w:rsidP="00336E3A">
      <w:pPr>
        <w:pStyle w:val="ListParagraph"/>
        <w:numPr>
          <w:ilvl w:val="1"/>
          <w:numId w:val="1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Higher Technical Qualifications (HTQs), except for the very</w:t>
      </w:r>
      <w:r w:rsidR="00473574">
        <w:rPr>
          <w:rFonts w:asciiTheme="minorHAnsi" w:hAnsiTheme="minorHAnsi" w:cstheme="minorHAnsi"/>
          <w:color w:val="000000" w:themeColor="text1"/>
          <w:sz w:val="24"/>
          <w:szCs w:val="24"/>
        </w:rPr>
        <w:t xml:space="preserve"> small</w:t>
      </w:r>
      <w:r>
        <w:rPr>
          <w:rFonts w:asciiTheme="minorHAnsi" w:hAnsiTheme="minorHAnsi" w:cstheme="minorHAnsi"/>
          <w:color w:val="000000" w:themeColor="text1"/>
          <w:sz w:val="24"/>
          <w:szCs w:val="24"/>
        </w:rPr>
        <w:t xml:space="preserve"> number of young people aged 19 but under 20 doing a HTQ funded by Advanced Learner Loan</w:t>
      </w:r>
    </w:p>
    <w:p w14:paraId="7933D4ED" w14:textId="4890A9E0" w:rsidR="00336E3A" w:rsidRDefault="00336E3A" w:rsidP="00336E3A">
      <w:pPr>
        <w:pStyle w:val="ListParagraph"/>
        <w:numPr>
          <w:ilvl w:val="1"/>
          <w:numId w:val="1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Social activities/groups where no actual programme of study takes </w:t>
      </w:r>
      <w:r w:rsidR="00A807D2">
        <w:rPr>
          <w:rFonts w:asciiTheme="minorHAnsi" w:hAnsiTheme="minorHAnsi" w:cstheme="minorHAnsi"/>
          <w:color w:val="000000" w:themeColor="text1"/>
          <w:sz w:val="24"/>
          <w:szCs w:val="24"/>
        </w:rPr>
        <w:t>place</w:t>
      </w:r>
    </w:p>
    <w:p w14:paraId="70D1DBC0" w14:textId="41D705B3" w:rsidR="00A807D2" w:rsidRDefault="00A807D2" w:rsidP="00A807D2">
      <w:pPr>
        <w:rPr>
          <w:rFonts w:cstheme="minorHAnsi"/>
          <w:color w:val="000000" w:themeColor="text1"/>
          <w:sz w:val="24"/>
          <w:szCs w:val="24"/>
        </w:rPr>
      </w:pPr>
      <w:r>
        <w:rPr>
          <w:rFonts w:cstheme="minorHAnsi"/>
          <w:color w:val="000000" w:themeColor="text1"/>
          <w:sz w:val="24"/>
          <w:szCs w:val="24"/>
        </w:rPr>
        <w:t>Any instances where a young parent is still looking after their child, for example, while they are undertaking a study programme with a childcare provider and the child is still with the parent</w:t>
      </w:r>
      <w:r w:rsidR="00F35051">
        <w:rPr>
          <w:rFonts w:cstheme="minorHAnsi"/>
          <w:color w:val="000000" w:themeColor="text1"/>
          <w:sz w:val="24"/>
          <w:szCs w:val="24"/>
        </w:rPr>
        <w:t>.</w:t>
      </w:r>
    </w:p>
    <w:p w14:paraId="71027120" w14:textId="77777777" w:rsidR="00F35051" w:rsidRDefault="00F35051" w:rsidP="00A807D2">
      <w:pPr>
        <w:rPr>
          <w:rFonts w:cstheme="minorHAnsi"/>
          <w:color w:val="000000" w:themeColor="text1"/>
          <w:sz w:val="24"/>
          <w:szCs w:val="24"/>
        </w:rPr>
      </w:pPr>
    </w:p>
    <w:p w14:paraId="44A25025" w14:textId="31E1BFEE" w:rsidR="00A807D2" w:rsidRDefault="00A807D2" w:rsidP="00A807D2">
      <w:pPr>
        <w:rPr>
          <w:rFonts w:cstheme="minorHAnsi"/>
          <w:b/>
          <w:bCs/>
          <w:color w:val="000000" w:themeColor="text1"/>
          <w:sz w:val="24"/>
          <w:szCs w:val="24"/>
        </w:rPr>
      </w:pPr>
      <w:r>
        <w:rPr>
          <w:rFonts w:cstheme="minorHAnsi"/>
          <w:b/>
          <w:bCs/>
          <w:color w:val="000000" w:themeColor="text1"/>
          <w:sz w:val="24"/>
          <w:szCs w:val="24"/>
        </w:rPr>
        <w:t>Study Programme duration</w:t>
      </w:r>
    </w:p>
    <w:p w14:paraId="3C8CEE6B" w14:textId="6B95F4C3" w:rsidR="00A807D2" w:rsidRDefault="00A807D2" w:rsidP="00A807D2">
      <w:pPr>
        <w:rPr>
          <w:rFonts w:cstheme="minorHAnsi"/>
          <w:color w:val="000000" w:themeColor="text1"/>
          <w:sz w:val="24"/>
          <w:szCs w:val="24"/>
        </w:rPr>
      </w:pPr>
      <w:r>
        <w:rPr>
          <w:rFonts w:cstheme="minorHAnsi"/>
          <w:color w:val="000000" w:themeColor="text1"/>
          <w:sz w:val="24"/>
          <w:szCs w:val="24"/>
        </w:rPr>
        <w:t>C2L will provide help with childcare costs for the duration of the student’s study programme.  Where students are enrolled on non-accredited, community-based courses like parenting and healthy eating, C2L is only payable for a maximum of six months in the academic year.  This reflects that these courses are designed for a short</w:t>
      </w:r>
      <w:r w:rsidR="00F35051">
        <w:rPr>
          <w:rFonts w:cstheme="minorHAnsi"/>
          <w:color w:val="000000" w:themeColor="text1"/>
          <w:sz w:val="24"/>
          <w:szCs w:val="24"/>
        </w:rPr>
        <w:t>-</w:t>
      </w:r>
      <w:r>
        <w:rPr>
          <w:rFonts w:cstheme="minorHAnsi"/>
          <w:color w:val="000000" w:themeColor="text1"/>
          <w:sz w:val="24"/>
          <w:szCs w:val="24"/>
        </w:rPr>
        <w:t>term use to provide a particular set of skill or knowledge and/or to give the young parent the confidence to progress to other education or training.</w:t>
      </w:r>
    </w:p>
    <w:p w14:paraId="68A86C5F" w14:textId="338DB891" w:rsidR="00A807D2" w:rsidRDefault="00A807D2" w:rsidP="00A807D2">
      <w:pPr>
        <w:rPr>
          <w:rFonts w:cstheme="minorHAnsi"/>
          <w:b/>
          <w:bCs/>
          <w:color w:val="000000" w:themeColor="text1"/>
          <w:sz w:val="24"/>
          <w:szCs w:val="24"/>
        </w:rPr>
      </w:pPr>
      <w:r>
        <w:rPr>
          <w:rFonts w:cstheme="minorHAnsi"/>
          <w:b/>
          <w:bCs/>
          <w:color w:val="000000" w:themeColor="text1"/>
          <w:sz w:val="24"/>
          <w:szCs w:val="24"/>
        </w:rPr>
        <w:t>Study time, work experience and industry placements</w:t>
      </w:r>
    </w:p>
    <w:p w14:paraId="5EEE4F7B" w14:textId="16F4FD4C" w:rsidR="00A807D2" w:rsidRDefault="00A807D2" w:rsidP="00A807D2">
      <w:pPr>
        <w:rPr>
          <w:rFonts w:cstheme="minorHAnsi"/>
          <w:color w:val="000000" w:themeColor="text1"/>
          <w:sz w:val="24"/>
          <w:szCs w:val="24"/>
        </w:rPr>
      </w:pPr>
      <w:r>
        <w:rPr>
          <w:rFonts w:cstheme="minorHAnsi"/>
          <w:color w:val="000000" w:themeColor="text1"/>
          <w:sz w:val="24"/>
          <w:szCs w:val="24"/>
        </w:rPr>
        <w:t>Students can claim C2L for independent study time where it is required as part of their study programme to complete coursework, undertake revision or homework.  The amount of independent study time that is appropriate must be agreed between the college and the student.</w:t>
      </w:r>
    </w:p>
    <w:p w14:paraId="4FA60661" w14:textId="5B624A18" w:rsidR="00A807D2" w:rsidRDefault="00A807D2" w:rsidP="00A807D2">
      <w:pPr>
        <w:rPr>
          <w:rFonts w:cstheme="minorHAnsi"/>
          <w:color w:val="000000" w:themeColor="text1"/>
          <w:sz w:val="24"/>
          <w:szCs w:val="24"/>
        </w:rPr>
      </w:pPr>
      <w:r>
        <w:rPr>
          <w:rFonts w:cstheme="minorHAnsi"/>
          <w:color w:val="000000" w:themeColor="text1"/>
          <w:sz w:val="24"/>
          <w:szCs w:val="24"/>
        </w:rPr>
        <w:t>C2L will support time needed to undertake work experience and industry placements but only where these have been identified as an integral part of the study programme.</w:t>
      </w:r>
    </w:p>
    <w:p w14:paraId="64C1542E" w14:textId="0C34685A" w:rsidR="00A807D2" w:rsidRDefault="00A807D2" w:rsidP="00A807D2">
      <w:pPr>
        <w:rPr>
          <w:rFonts w:cstheme="minorHAnsi"/>
          <w:color w:val="000000" w:themeColor="text1"/>
          <w:sz w:val="24"/>
          <w:szCs w:val="24"/>
        </w:rPr>
      </w:pPr>
      <w:r>
        <w:rPr>
          <w:rFonts w:cstheme="minorHAnsi"/>
          <w:color w:val="000000" w:themeColor="text1"/>
          <w:sz w:val="24"/>
          <w:szCs w:val="24"/>
        </w:rPr>
        <w:t>Costs associated with independent study time, work experience and industry placements will be included as part of the C2L weekly maximum of £180 per child per week, and these costs are not extra.</w:t>
      </w:r>
    </w:p>
    <w:p w14:paraId="022F5CAF" w14:textId="5193EC55" w:rsidR="00A807D2" w:rsidRDefault="00A807D2" w:rsidP="00A807D2">
      <w:pPr>
        <w:rPr>
          <w:rFonts w:cstheme="minorHAnsi"/>
          <w:b/>
          <w:bCs/>
          <w:color w:val="000000" w:themeColor="text1"/>
          <w:sz w:val="24"/>
          <w:szCs w:val="24"/>
        </w:rPr>
      </w:pPr>
      <w:r>
        <w:rPr>
          <w:rFonts w:cstheme="minorHAnsi"/>
          <w:b/>
          <w:bCs/>
          <w:color w:val="000000" w:themeColor="text1"/>
          <w:sz w:val="24"/>
          <w:szCs w:val="24"/>
        </w:rPr>
        <w:t>Childcare provision</w:t>
      </w:r>
    </w:p>
    <w:p w14:paraId="32DE5617" w14:textId="77FBC208" w:rsidR="00A807D2" w:rsidRDefault="00A807D2" w:rsidP="00A807D2">
      <w:pPr>
        <w:rPr>
          <w:rFonts w:cstheme="minorHAnsi"/>
          <w:color w:val="000000" w:themeColor="text1"/>
          <w:sz w:val="24"/>
          <w:szCs w:val="24"/>
        </w:rPr>
      </w:pPr>
      <w:r>
        <w:rPr>
          <w:rFonts w:cstheme="minorHAnsi"/>
          <w:color w:val="000000" w:themeColor="text1"/>
          <w:sz w:val="24"/>
          <w:szCs w:val="24"/>
        </w:rPr>
        <w:t>C2L will only pay for childcare provision that is appropriately registered with Ofsted and must be registered in one of the following ways:</w:t>
      </w:r>
    </w:p>
    <w:p w14:paraId="01D31D47" w14:textId="52D0A45E" w:rsidR="00A807D2" w:rsidRDefault="00A807D2" w:rsidP="00A807D2">
      <w:pPr>
        <w:pStyle w:val="ListParagraph"/>
        <w:numPr>
          <w:ilvl w:val="0"/>
          <w:numId w:val="15"/>
        </w:numPr>
        <w:rPr>
          <w:rFonts w:asciiTheme="minorHAnsi" w:hAnsiTheme="minorHAnsi" w:cstheme="minorHAnsi"/>
          <w:color w:val="000000" w:themeColor="text1"/>
          <w:sz w:val="24"/>
          <w:szCs w:val="24"/>
        </w:rPr>
      </w:pPr>
      <w:r w:rsidRPr="00A807D2">
        <w:rPr>
          <w:rFonts w:asciiTheme="minorHAnsi" w:hAnsiTheme="minorHAnsi" w:cstheme="minorHAnsi"/>
          <w:color w:val="000000" w:themeColor="text1"/>
          <w:sz w:val="24"/>
          <w:szCs w:val="24"/>
        </w:rPr>
        <w:t>On the early years register with either Ofsted or a childminder agency</w:t>
      </w:r>
    </w:p>
    <w:p w14:paraId="293E8231" w14:textId="6AD37B1D" w:rsidR="00A807D2" w:rsidRDefault="00A807D2" w:rsidP="00A807D2">
      <w:pPr>
        <w:pStyle w:val="ListParagraph"/>
        <w:numPr>
          <w:ilvl w:val="0"/>
          <w:numId w:val="1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On the compulsory and/or voluntary part of the general childcare register with either Ofsted or a childminder agency </w:t>
      </w:r>
    </w:p>
    <w:p w14:paraId="4E26F4EE" w14:textId="274103ED" w:rsidR="00A807D2" w:rsidRDefault="009F4C1F" w:rsidP="00A807D2">
      <w:pPr>
        <w:pStyle w:val="ListParagraph"/>
        <w:numPr>
          <w:ilvl w:val="0"/>
          <w:numId w:val="1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Offered by schools (who are exempt from Ofsted registration for children aged 2+), such as school run breakfast and after school clubs, and holiday care </w:t>
      </w:r>
    </w:p>
    <w:p w14:paraId="044066EE" w14:textId="66A3A7D0" w:rsidR="009F4C1F" w:rsidRDefault="009F4C1F" w:rsidP="00A807D2">
      <w:pPr>
        <w:pStyle w:val="ListParagraph"/>
        <w:numPr>
          <w:ilvl w:val="0"/>
          <w:numId w:val="1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general childcare provision is not suitable for the child, then the college will give consideration for specialist provision</w:t>
      </w:r>
    </w:p>
    <w:p w14:paraId="2F69B8A5" w14:textId="70FFC5C2" w:rsidR="009F4C1F" w:rsidRDefault="009F4C1F" w:rsidP="00A807D2">
      <w:pPr>
        <w:pStyle w:val="ListParagraph"/>
        <w:numPr>
          <w:ilvl w:val="0"/>
          <w:numId w:val="1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As part of the application process the childcare provider mu</w:t>
      </w:r>
      <w:r w:rsidR="00473574">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t supply evidence that they are Ofsted Registered with a rating of 3/Secure or above </w:t>
      </w:r>
    </w:p>
    <w:p w14:paraId="48F03077" w14:textId="4790853C" w:rsidR="009F4C1F" w:rsidRDefault="009F4C1F" w:rsidP="00A807D2">
      <w:pPr>
        <w:pStyle w:val="ListParagraph"/>
        <w:numPr>
          <w:ilvl w:val="0"/>
          <w:numId w:val="1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Where the childcare provider is related to the child, the childcare provider must</w:t>
      </w:r>
    </w:p>
    <w:p w14:paraId="0E543A53" w14:textId="1F528BEE" w:rsidR="009F4C1F" w:rsidRDefault="009F4C1F" w:rsidP="009F4C1F">
      <w:pPr>
        <w:pStyle w:val="ListParagraph"/>
        <w:numPr>
          <w:ilvl w:val="1"/>
          <w:numId w:val="1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live </w:t>
      </w:r>
      <w:r w:rsidR="00473574">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part from the child;</w:t>
      </w:r>
    </w:p>
    <w:p w14:paraId="4EFF1B61" w14:textId="03833B4E" w:rsidR="009F4C1F" w:rsidRDefault="009F4C1F" w:rsidP="009F4C1F">
      <w:pPr>
        <w:pStyle w:val="ListParagraph"/>
        <w:numPr>
          <w:ilvl w:val="1"/>
          <w:numId w:val="1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be providing registered childcare for other children who are not related at the same time as the child they are related to; and</w:t>
      </w:r>
    </w:p>
    <w:p w14:paraId="5C86CE9D" w14:textId="11D11C8E" w:rsidR="009F4C1F" w:rsidRPr="00A807D2" w:rsidRDefault="009F4C1F" w:rsidP="009F4C1F">
      <w:pPr>
        <w:pStyle w:val="ListParagraph"/>
        <w:numPr>
          <w:ilvl w:val="1"/>
          <w:numId w:val="1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be Ofsted registered</w:t>
      </w:r>
    </w:p>
    <w:p w14:paraId="3C247DA1" w14:textId="77777777" w:rsidR="00A807D2" w:rsidRPr="00A807D2" w:rsidRDefault="00A807D2" w:rsidP="00A807D2">
      <w:pPr>
        <w:rPr>
          <w:rFonts w:cstheme="minorHAnsi"/>
          <w:color w:val="000000" w:themeColor="text1"/>
          <w:sz w:val="24"/>
          <w:szCs w:val="24"/>
        </w:rPr>
      </w:pPr>
    </w:p>
    <w:p w14:paraId="47706455" w14:textId="30CDD48B" w:rsidR="003940A4" w:rsidRDefault="00A863F6" w:rsidP="003940A4">
      <w:pPr>
        <w:rPr>
          <w:rFonts w:cstheme="minorHAnsi"/>
          <w:b/>
          <w:bCs/>
          <w:color w:val="000000" w:themeColor="text1"/>
          <w:sz w:val="24"/>
          <w:szCs w:val="24"/>
        </w:rPr>
      </w:pPr>
      <w:r>
        <w:rPr>
          <w:rFonts w:cstheme="minorHAnsi"/>
          <w:b/>
          <w:bCs/>
          <w:color w:val="000000" w:themeColor="text1"/>
          <w:sz w:val="24"/>
          <w:szCs w:val="24"/>
        </w:rPr>
        <w:t>Travel payments</w:t>
      </w:r>
    </w:p>
    <w:p w14:paraId="635F9E2D" w14:textId="683526E4" w:rsidR="00A863F6" w:rsidRDefault="00A863F6" w:rsidP="003940A4">
      <w:pPr>
        <w:rPr>
          <w:rFonts w:cstheme="minorHAnsi"/>
          <w:color w:val="000000" w:themeColor="text1"/>
          <w:sz w:val="24"/>
          <w:szCs w:val="24"/>
        </w:rPr>
      </w:pPr>
      <w:r>
        <w:rPr>
          <w:rFonts w:cstheme="minorHAnsi"/>
          <w:color w:val="000000" w:themeColor="text1"/>
          <w:sz w:val="24"/>
          <w:szCs w:val="24"/>
        </w:rPr>
        <w:t>As part of the funding C2L can contribute towards travel for the student, if it is necessary for the student to take their child(ren) between childcare and home. Travel payments are only paid if they are additional to the student’s normal travel costs from home to college. If the childcare is based on the way to or on site of the College then no additional travel can be claimed</w:t>
      </w:r>
      <w:r w:rsidR="00473574">
        <w:rPr>
          <w:rFonts w:cstheme="minorHAnsi"/>
          <w:color w:val="000000" w:themeColor="text1"/>
          <w:sz w:val="24"/>
          <w:szCs w:val="24"/>
        </w:rPr>
        <w:t>.</w:t>
      </w:r>
    </w:p>
    <w:p w14:paraId="28F55D3A" w14:textId="5A21E180" w:rsidR="00A863F6" w:rsidRDefault="00A863F6" w:rsidP="003940A4">
      <w:pPr>
        <w:rPr>
          <w:rFonts w:cstheme="minorHAnsi"/>
          <w:color w:val="000000" w:themeColor="text1"/>
          <w:sz w:val="24"/>
          <w:szCs w:val="24"/>
        </w:rPr>
      </w:pPr>
      <w:r>
        <w:rPr>
          <w:rFonts w:cstheme="minorHAnsi"/>
          <w:color w:val="000000" w:themeColor="text1"/>
          <w:sz w:val="24"/>
          <w:szCs w:val="24"/>
        </w:rPr>
        <w:t>Any travel claims will be part of the childcare costs (maximum allocation will not be exceeded) and must be the cheapest option.  If travelling by car (not private taxi) the rate used will be 25p per mile.</w:t>
      </w:r>
    </w:p>
    <w:p w14:paraId="60D4E22F" w14:textId="77777777" w:rsidR="00473574" w:rsidRDefault="00473574" w:rsidP="003940A4">
      <w:pPr>
        <w:rPr>
          <w:rFonts w:cstheme="minorHAnsi"/>
          <w:color w:val="000000" w:themeColor="text1"/>
          <w:sz w:val="24"/>
          <w:szCs w:val="24"/>
        </w:rPr>
      </w:pPr>
    </w:p>
    <w:p w14:paraId="335B7FAA" w14:textId="33EFEFCF" w:rsidR="00A863F6" w:rsidRDefault="00A863F6" w:rsidP="003940A4">
      <w:pPr>
        <w:rPr>
          <w:rFonts w:cstheme="minorHAnsi"/>
          <w:b/>
          <w:bCs/>
          <w:color w:val="000000" w:themeColor="text1"/>
          <w:sz w:val="24"/>
          <w:szCs w:val="24"/>
        </w:rPr>
      </w:pPr>
      <w:r>
        <w:rPr>
          <w:rFonts w:cstheme="minorHAnsi"/>
          <w:b/>
          <w:bCs/>
          <w:color w:val="000000" w:themeColor="text1"/>
          <w:sz w:val="24"/>
          <w:szCs w:val="24"/>
        </w:rPr>
        <w:t>Deposits and Registration fees</w:t>
      </w:r>
    </w:p>
    <w:p w14:paraId="16CFA767" w14:textId="032A0098" w:rsidR="00A863F6" w:rsidRDefault="00A863F6" w:rsidP="003940A4">
      <w:pPr>
        <w:rPr>
          <w:rFonts w:cstheme="minorHAnsi"/>
          <w:color w:val="000000" w:themeColor="text1"/>
          <w:sz w:val="24"/>
          <w:szCs w:val="24"/>
        </w:rPr>
      </w:pPr>
      <w:r>
        <w:rPr>
          <w:rFonts w:cstheme="minorHAnsi"/>
          <w:color w:val="000000" w:themeColor="text1"/>
          <w:sz w:val="24"/>
          <w:szCs w:val="24"/>
        </w:rPr>
        <w:t>C2L will pay a maximum of £250 per child if the childcare provider requires this.  Deposits will be paid from the C3L funding.  C2L will also pay registration fees charged by the childcare provider, up to a maxim</w:t>
      </w:r>
      <w:r w:rsidR="003357CC">
        <w:rPr>
          <w:rFonts w:cstheme="minorHAnsi"/>
          <w:color w:val="000000" w:themeColor="text1"/>
          <w:sz w:val="24"/>
          <w:szCs w:val="24"/>
        </w:rPr>
        <w:t>u</w:t>
      </w:r>
      <w:r>
        <w:rPr>
          <w:rFonts w:cstheme="minorHAnsi"/>
          <w:color w:val="000000" w:themeColor="text1"/>
          <w:sz w:val="24"/>
          <w:szCs w:val="24"/>
        </w:rPr>
        <w:t>m of £80 per child.  These are one-off payments that will not be included as part of the weekly maximum and cannot be paid in the future academic year if the student uses the same childcare provider</w:t>
      </w:r>
      <w:r w:rsidR="003357CC">
        <w:rPr>
          <w:rFonts w:cstheme="minorHAnsi"/>
          <w:color w:val="000000" w:themeColor="text1"/>
          <w:sz w:val="24"/>
          <w:szCs w:val="24"/>
        </w:rPr>
        <w:t>.</w:t>
      </w:r>
    </w:p>
    <w:p w14:paraId="7D658568" w14:textId="035C8334" w:rsidR="003357CC" w:rsidRDefault="003357CC" w:rsidP="003940A4">
      <w:pPr>
        <w:rPr>
          <w:rFonts w:cstheme="minorHAnsi"/>
          <w:b/>
          <w:bCs/>
          <w:color w:val="000000" w:themeColor="text1"/>
          <w:sz w:val="24"/>
          <w:szCs w:val="24"/>
        </w:rPr>
      </w:pPr>
      <w:r>
        <w:rPr>
          <w:rFonts w:cstheme="minorHAnsi"/>
          <w:b/>
          <w:bCs/>
          <w:color w:val="000000" w:themeColor="text1"/>
          <w:sz w:val="24"/>
          <w:szCs w:val="24"/>
        </w:rPr>
        <w:t>Summer Retainers</w:t>
      </w:r>
    </w:p>
    <w:p w14:paraId="3B05FC5D" w14:textId="4A63F5A5" w:rsidR="0076497B" w:rsidRDefault="003357CC" w:rsidP="003940A4">
      <w:pPr>
        <w:rPr>
          <w:rFonts w:cstheme="minorHAnsi"/>
          <w:color w:val="000000" w:themeColor="text1"/>
          <w:sz w:val="24"/>
          <w:szCs w:val="24"/>
        </w:rPr>
      </w:pPr>
      <w:r>
        <w:rPr>
          <w:rFonts w:cstheme="minorHAnsi"/>
          <w:color w:val="000000" w:themeColor="text1"/>
          <w:sz w:val="24"/>
          <w:szCs w:val="24"/>
        </w:rPr>
        <w:t>The College can pay summer retainers to childcare providers, if required</w:t>
      </w:r>
      <w:r w:rsidR="00473574">
        <w:rPr>
          <w:rFonts w:cstheme="minorHAnsi"/>
          <w:color w:val="000000" w:themeColor="text1"/>
          <w:sz w:val="24"/>
          <w:szCs w:val="24"/>
        </w:rPr>
        <w:t>,</w:t>
      </w:r>
      <w:r>
        <w:rPr>
          <w:rFonts w:cstheme="minorHAnsi"/>
          <w:color w:val="000000" w:themeColor="text1"/>
          <w:sz w:val="24"/>
          <w:szCs w:val="24"/>
        </w:rPr>
        <w:t xml:space="preserve"> to </w:t>
      </w:r>
      <w:r w:rsidR="00473574">
        <w:rPr>
          <w:rFonts w:cstheme="minorHAnsi"/>
          <w:color w:val="000000" w:themeColor="text1"/>
          <w:sz w:val="24"/>
          <w:szCs w:val="24"/>
        </w:rPr>
        <w:t>hold</w:t>
      </w:r>
      <w:r>
        <w:rPr>
          <w:rFonts w:cstheme="minorHAnsi"/>
          <w:color w:val="000000" w:themeColor="text1"/>
          <w:sz w:val="24"/>
          <w:szCs w:val="24"/>
        </w:rPr>
        <w:t xml:space="preserve"> the childcare place over the summer holiday period.  This only apply if the student is finishing study in one year and continuing their study in the next academic year.  The young parent must still </w:t>
      </w:r>
      <w:r w:rsidR="0076497B">
        <w:rPr>
          <w:rFonts w:cstheme="minorHAnsi"/>
          <w:color w:val="000000" w:themeColor="text1"/>
          <w:sz w:val="24"/>
          <w:szCs w:val="24"/>
        </w:rPr>
        <w:t>meet the eligibility criteria for this to be paid.</w:t>
      </w:r>
    </w:p>
    <w:p w14:paraId="6D62EF27" w14:textId="6AB64C31" w:rsidR="0076497B" w:rsidRDefault="0076497B" w:rsidP="003940A4">
      <w:pPr>
        <w:rPr>
          <w:rFonts w:cstheme="minorHAnsi"/>
          <w:color w:val="000000" w:themeColor="text1"/>
          <w:sz w:val="24"/>
          <w:szCs w:val="24"/>
        </w:rPr>
      </w:pPr>
      <w:r>
        <w:rPr>
          <w:rFonts w:cstheme="minorHAnsi"/>
          <w:color w:val="000000" w:themeColor="text1"/>
          <w:sz w:val="24"/>
          <w:szCs w:val="24"/>
        </w:rPr>
        <w:t>To be eligible for the summer retainers to childcare providers, if required to hold the childcare place over the summer 2026, the student must:</w:t>
      </w:r>
    </w:p>
    <w:p w14:paraId="35ED3170" w14:textId="528AA5A6" w:rsidR="0076497B" w:rsidRDefault="0076497B" w:rsidP="0076497B">
      <w:pPr>
        <w:pStyle w:val="ListParagraph"/>
        <w:numPr>
          <w:ilvl w:val="0"/>
          <w:numId w:val="17"/>
        </w:numPr>
        <w:rPr>
          <w:rFonts w:asciiTheme="minorHAnsi" w:eastAsiaTheme="minorHAnsi" w:hAnsiTheme="minorHAnsi" w:cstheme="minorHAnsi"/>
          <w:color w:val="000000" w:themeColor="text1"/>
          <w:sz w:val="24"/>
          <w:szCs w:val="24"/>
          <w:lang w:val="en-GB"/>
        </w:rPr>
      </w:pPr>
      <w:r w:rsidRPr="0076497B">
        <w:rPr>
          <w:rFonts w:asciiTheme="minorHAnsi" w:eastAsiaTheme="minorHAnsi" w:hAnsiTheme="minorHAnsi" w:cstheme="minorHAnsi"/>
          <w:color w:val="000000" w:themeColor="text1"/>
          <w:sz w:val="24"/>
          <w:szCs w:val="24"/>
          <w:lang w:val="en-GB"/>
        </w:rPr>
        <w:t>have received C2L funding in the academic year 2025 t</w:t>
      </w:r>
      <w:r>
        <w:rPr>
          <w:rFonts w:asciiTheme="minorHAnsi" w:eastAsiaTheme="minorHAnsi" w:hAnsiTheme="minorHAnsi" w:cstheme="minorHAnsi"/>
          <w:color w:val="000000" w:themeColor="text1"/>
          <w:sz w:val="24"/>
          <w:szCs w:val="24"/>
          <w:lang w:val="en-GB"/>
        </w:rPr>
        <w:t>o</w:t>
      </w:r>
      <w:r w:rsidRPr="0076497B">
        <w:rPr>
          <w:rFonts w:asciiTheme="minorHAnsi" w:eastAsiaTheme="minorHAnsi" w:hAnsiTheme="minorHAnsi" w:cstheme="minorHAnsi"/>
          <w:color w:val="000000" w:themeColor="text1"/>
          <w:sz w:val="24"/>
          <w:szCs w:val="24"/>
          <w:lang w:val="en-GB"/>
        </w:rPr>
        <w:t xml:space="preserve"> 2026 and be intending to return to the study programme in the academic year</w:t>
      </w:r>
      <w:r>
        <w:rPr>
          <w:rFonts w:asciiTheme="minorHAnsi" w:eastAsiaTheme="minorHAnsi" w:hAnsiTheme="minorHAnsi" w:cstheme="minorHAnsi"/>
          <w:color w:val="000000" w:themeColor="text1"/>
          <w:sz w:val="24"/>
          <w:szCs w:val="24"/>
          <w:lang w:val="en-GB"/>
        </w:rPr>
        <w:t>;</w:t>
      </w:r>
    </w:p>
    <w:p w14:paraId="588BCCE9" w14:textId="3B4A76AF" w:rsidR="0076497B" w:rsidRDefault="0076497B" w:rsidP="0076497B">
      <w:pPr>
        <w:pStyle w:val="ListParagraph"/>
        <w:numPr>
          <w:ilvl w:val="0"/>
          <w:numId w:val="17"/>
        </w:numPr>
        <w:rPr>
          <w:rFonts w:asciiTheme="minorHAnsi" w:eastAsiaTheme="minorHAnsi" w:hAnsiTheme="minorHAnsi" w:cstheme="minorHAnsi"/>
          <w:color w:val="000000" w:themeColor="text1"/>
          <w:sz w:val="24"/>
          <w:szCs w:val="24"/>
          <w:lang w:val="en-GB"/>
        </w:rPr>
      </w:pPr>
      <w:r>
        <w:rPr>
          <w:rFonts w:asciiTheme="minorHAnsi" w:eastAsiaTheme="minorHAnsi" w:hAnsiTheme="minorHAnsi" w:cstheme="minorHAnsi"/>
          <w:color w:val="000000" w:themeColor="text1"/>
          <w:sz w:val="24"/>
          <w:szCs w:val="24"/>
          <w:lang w:val="en-GB"/>
        </w:rPr>
        <w:t>be on a study programme that has lasted for 6 weeks or more in the academic year 2025 to 2026;</w:t>
      </w:r>
    </w:p>
    <w:p w14:paraId="32B7DC49" w14:textId="42DA16B4" w:rsidR="0076497B" w:rsidRDefault="0076497B" w:rsidP="0076497B">
      <w:pPr>
        <w:pStyle w:val="ListParagraph"/>
        <w:numPr>
          <w:ilvl w:val="0"/>
          <w:numId w:val="17"/>
        </w:numPr>
        <w:rPr>
          <w:rFonts w:asciiTheme="minorHAnsi" w:eastAsiaTheme="minorHAnsi" w:hAnsiTheme="minorHAnsi" w:cstheme="minorHAnsi"/>
          <w:color w:val="000000" w:themeColor="text1"/>
          <w:sz w:val="24"/>
          <w:szCs w:val="24"/>
          <w:lang w:val="en-GB"/>
        </w:rPr>
      </w:pPr>
      <w:r>
        <w:rPr>
          <w:rFonts w:asciiTheme="minorHAnsi" w:eastAsiaTheme="minorHAnsi" w:hAnsiTheme="minorHAnsi" w:cstheme="minorHAnsi"/>
          <w:color w:val="000000" w:themeColor="text1"/>
          <w:sz w:val="24"/>
          <w:szCs w:val="24"/>
          <w:lang w:val="en-GB"/>
        </w:rPr>
        <w:t>be on a study programme that finishes no earlier than 26 May 2026</w:t>
      </w:r>
    </w:p>
    <w:p w14:paraId="3DE51EB6" w14:textId="43A5D50D" w:rsidR="0076497B" w:rsidRDefault="0076497B" w:rsidP="0076497B">
      <w:pPr>
        <w:pStyle w:val="ListParagraph"/>
        <w:numPr>
          <w:ilvl w:val="0"/>
          <w:numId w:val="17"/>
        </w:numPr>
        <w:rPr>
          <w:rFonts w:asciiTheme="minorHAnsi" w:eastAsiaTheme="minorHAnsi" w:hAnsiTheme="minorHAnsi" w:cstheme="minorHAnsi"/>
          <w:color w:val="000000" w:themeColor="text1"/>
          <w:sz w:val="24"/>
          <w:szCs w:val="24"/>
          <w:lang w:val="en-GB"/>
        </w:rPr>
      </w:pPr>
      <w:r>
        <w:rPr>
          <w:rFonts w:asciiTheme="minorHAnsi" w:eastAsiaTheme="minorHAnsi" w:hAnsiTheme="minorHAnsi" w:cstheme="minorHAnsi"/>
          <w:color w:val="000000" w:themeColor="text1"/>
          <w:sz w:val="24"/>
          <w:szCs w:val="24"/>
          <w:lang w:val="en-GB"/>
        </w:rPr>
        <w:t>be intending to continue with the same childcare provider they used during academic year 2025 to 2026; and</w:t>
      </w:r>
    </w:p>
    <w:p w14:paraId="4BEB2F82" w14:textId="6DAEAB7F" w:rsidR="0076497B" w:rsidRDefault="0076497B" w:rsidP="0076497B">
      <w:pPr>
        <w:pStyle w:val="ListParagraph"/>
        <w:numPr>
          <w:ilvl w:val="0"/>
          <w:numId w:val="17"/>
        </w:numPr>
        <w:rPr>
          <w:rFonts w:asciiTheme="minorHAnsi" w:eastAsiaTheme="minorHAnsi" w:hAnsiTheme="minorHAnsi" w:cstheme="minorHAnsi"/>
          <w:color w:val="000000" w:themeColor="text1"/>
          <w:sz w:val="24"/>
          <w:szCs w:val="24"/>
          <w:lang w:val="en-GB"/>
        </w:rPr>
      </w:pPr>
      <w:r>
        <w:rPr>
          <w:rFonts w:asciiTheme="minorHAnsi" w:eastAsiaTheme="minorHAnsi" w:hAnsiTheme="minorHAnsi" w:cstheme="minorHAnsi"/>
          <w:color w:val="000000" w:themeColor="text1"/>
          <w:sz w:val="24"/>
          <w:szCs w:val="24"/>
          <w:lang w:val="en-GB"/>
        </w:rPr>
        <w:t>have been using the childcare provider for a minimum of six weeks</w:t>
      </w:r>
      <w:r w:rsidR="00B467EF">
        <w:rPr>
          <w:rFonts w:asciiTheme="minorHAnsi" w:eastAsiaTheme="minorHAnsi" w:hAnsiTheme="minorHAnsi" w:cstheme="minorHAnsi"/>
          <w:color w:val="000000" w:themeColor="text1"/>
          <w:sz w:val="24"/>
          <w:szCs w:val="24"/>
          <w:lang w:val="en-GB"/>
        </w:rPr>
        <w:t xml:space="preserve">  </w:t>
      </w:r>
    </w:p>
    <w:p w14:paraId="60F60C37" w14:textId="652680B0" w:rsidR="00B467EF" w:rsidRDefault="00B467EF" w:rsidP="00B467EF">
      <w:pPr>
        <w:rPr>
          <w:rFonts w:cstheme="minorHAnsi"/>
          <w:color w:val="000000" w:themeColor="text1"/>
          <w:sz w:val="24"/>
          <w:szCs w:val="24"/>
        </w:rPr>
      </w:pPr>
      <w:r>
        <w:rPr>
          <w:rFonts w:cstheme="minorHAnsi"/>
          <w:color w:val="000000" w:themeColor="text1"/>
          <w:sz w:val="24"/>
          <w:szCs w:val="24"/>
        </w:rPr>
        <w:t xml:space="preserve">C2L can pay the summer retainer for a maximum of 8 weeks, and this cannot be more than the C2L weekly maximum rate. </w:t>
      </w:r>
    </w:p>
    <w:p w14:paraId="1123D940" w14:textId="2E04860D" w:rsidR="00B467EF" w:rsidRDefault="00B467EF" w:rsidP="00B467EF">
      <w:pPr>
        <w:rPr>
          <w:rFonts w:cstheme="minorHAnsi"/>
          <w:b/>
          <w:bCs/>
          <w:color w:val="000000" w:themeColor="text1"/>
          <w:sz w:val="24"/>
          <w:szCs w:val="24"/>
        </w:rPr>
      </w:pPr>
      <w:r>
        <w:rPr>
          <w:rFonts w:cstheme="minorHAnsi"/>
          <w:b/>
          <w:bCs/>
          <w:color w:val="000000" w:themeColor="text1"/>
          <w:sz w:val="24"/>
          <w:szCs w:val="24"/>
        </w:rPr>
        <w:t>Student Commitment</w:t>
      </w:r>
    </w:p>
    <w:p w14:paraId="7E9779E2" w14:textId="11D32E66" w:rsidR="00B467EF" w:rsidRDefault="00B467EF" w:rsidP="00B467EF">
      <w:pPr>
        <w:rPr>
          <w:rFonts w:cstheme="minorHAnsi"/>
          <w:color w:val="000000" w:themeColor="text1"/>
          <w:sz w:val="24"/>
          <w:szCs w:val="24"/>
        </w:rPr>
      </w:pPr>
      <w:r>
        <w:rPr>
          <w:rFonts w:cstheme="minorHAnsi"/>
          <w:color w:val="000000" w:themeColor="text1"/>
          <w:sz w:val="24"/>
          <w:szCs w:val="24"/>
        </w:rPr>
        <w:t>Awards are made on the understanding that the student maintains an attendance level of at least 90% (in all subjects/courses, including maths and English), otherwise payments will be withheld/reduced.  Their attendance is monitored monthly.  In addition to this, a monthly check will be made to the childcare provider to ensure the child is still attending.</w:t>
      </w:r>
    </w:p>
    <w:p w14:paraId="6DA7C9E8" w14:textId="6FB6AF5C" w:rsidR="00B467EF" w:rsidRDefault="00B467EF" w:rsidP="00B467EF">
      <w:pPr>
        <w:rPr>
          <w:rFonts w:cstheme="minorHAnsi"/>
          <w:color w:val="000000" w:themeColor="text1"/>
          <w:sz w:val="24"/>
          <w:szCs w:val="24"/>
        </w:rPr>
      </w:pPr>
      <w:r>
        <w:rPr>
          <w:rFonts w:cstheme="minorHAnsi"/>
          <w:color w:val="000000" w:themeColor="text1"/>
          <w:sz w:val="24"/>
          <w:szCs w:val="24"/>
        </w:rPr>
        <w:t>If the attendance drops below 90% and the payments are withheld/reduced, the student is required to discuss with their tutor the reasons regarding the low attendance.</w:t>
      </w:r>
    </w:p>
    <w:p w14:paraId="5912670B" w14:textId="6EF0E8DF" w:rsidR="00B467EF" w:rsidRDefault="00B467EF" w:rsidP="00B467EF">
      <w:pPr>
        <w:rPr>
          <w:rFonts w:cstheme="minorHAnsi"/>
          <w:color w:val="000000" w:themeColor="text1"/>
          <w:sz w:val="24"/>
          <w:szCs w:val="24"/>
        </w:rPr>
      </w:pPr>
      <w:r>
        <w:rPr>
          <w:rFonts w:cstheme="minorHAnsi"/>
          <w:color w:val="000000" w:themeColor="text1"/>
          <w:sz w:val="24"/>
          <w:szCs w:val="24"/>
        </w:rPr>
        <w:t>If the tutor is happy with the reasons (exceptional circumstances only) they must email Student Finance (</w:t>
      </w:r>
      <w:hyperlink r:id="rId10" w:history="1">
        <w:r w:rsidRPr="00582F85">
          <w:rPr>
            <w:rStyle w:val="Hyperlink"/>
            <w:rFonts w:cstheme="minorHAnsi"/>
            <w:sz w:val="24"/>
            <w:szCs w:val="24"/>
          </w:rPr>
          <w:t>studentfinance@bpc.ac.uk</w:t>
        </w:r>
      </w:hyperlink>
      <w:r>
        <w:rPr>
          <w:rFonts w:cstheme="minorHAnsi"/>
          <w:color w:val="000000" w:themeColor="text1"/>
          <w:sz w:val="24"/>
          <w:szCs w:val="24"/>
        </w:rPr>
        <w:t>) to request that the withheld/reduced payments be released.  Consideration will be given to mitigating circumstances such as: safeguarding, child protection; family bereavement; caring responsibilities; transport issues; for travel payments the amount will be reduced to reflect the student’s attendance ie, if the student has only attended 67% of the allocated time, then they will only receive 67% of the monthly residential/travel award.  A monthly report is also made to the Secretary of State for Education confirming the student’s and child’s continued attendance.</w:t>
      </w:r>
    </w:p>
    <w:p w14:paraId="176FBE7F" w14:textId="77D3A32A" w:rsidR="00B467EF" w:rsidRDefault="00B467EF" w:rsidP="00B467EF">
      <w:pPr>
        <w:rPr>
          <w:rFonts w:cstheme="minorHAnsi"/>
          <w:color w:val="000000" w:themeColor="text1"/>
          <w:sz w:val="24"/>
          <w:szCs w:val="24"/>
        </w:rPr>
      </w:pPr>
      <w:r>
        <w:rPr>
          <w:rFonts w:cstheme="minorHAnsi"/>
          <w:color w:val="000000" w:themeColor="text1"/>
          <w:sz w:val="24"/>
          <w:szCs w:val="24"/>
        </w:rPr>
        <w:t>Funding for student</w:t>
      </w:r>
      <w:r w:rsidR="00473574">
        <w:rPr>
          <w:rFonts w:cstheme="minorHAnsi"/>
          <w:color w:val="000000" w:themeColor="text1"/>
          <w:sz w:val="24"/>
          <w:szCs w:val="24"/>
        </w:rPr>
        <w:t>s</w:t>
      </w:r>
      <w:r>
        <w:rPr>
          <w:rFonts w:cstheme="minorHAnsi"/>
          <w:color w:val="000000" w:themeColor="text1"/>
          <w:sz w:val="24"/>
          <w:szCs w:val="24"/>
        </w:rPr>
        <w:t xml:space="preserve"> who have not attended for 4 weeks or more will be stopped, without notice and funding may also be stopped if a student has not adhered to the College’s rules.</w:t>
      </w:r>
    </w:p>
    <w:p w14:paraId="744F934E" w14:textId="6383C887" w:rsidR="00B467EF" w:rsidRDefault="00B467EF" w:rsidP="00B467EF">
      <w:pPr>
        <w:rPr>
          <w:rFonts w:cstheme="minorHAnsi"/>
          <w:color w:val="000000" w:themeColor="text1"/>
          <w:sz w:val="24"/>
          <w:szCs w:val="24"/>
        </w:rPr>
      </w:pPr>
      <w:r>
        <w:rPr>
          <w:rFonts w:cstheme="minorHAnsi"/>
          <w:color w:val="000000" w:themeColor="text1"/>
          <w:sz w:val="24"/>
          <w:szCs w:val="24"/>
        </w:rPr>
        <w:lastRenderedPageBreak/>
        <w:t>The College reserves the right to require repayment of funds if it has been funded through any Government grants or bursaries.</w:t>
      </w:r>
    </w:p>
    <w:p w14:paraId="51B0C38D" w14:textId="77777777" w:rsidR="00F35051" w:rsidRDefault="00F35051" w:rsidP="00B467EF">
      <w:pPr>
        <w:rPr>
          <w:rFonts w:cstheme="minorHAnsi"/>
          <w:color w:val="000000" w:themeColor="text1"/>
          <w:sz w:val="24"/>
          <w:szCs w:val="24"/>
        </w:rPr>
      </w:pPr>
    </w:p>
    <w:p w14:paraId="77F25E5C" w14:textId="21A9FAA1" w:rsidR="00F35051" w:rsidRDefault="00F35051" w:rsidP="00B467EF">
      <w:pPr>
        <w:rPr>
          <w:rFonts w:cstheme="minorHAnsi"/>
          <w:b/>
          <w:bCs/>
          <w:color w:val="000000" w:themeColor="text1"/>
          <w:sz w:val="24"/>
          <w:szCs w:val="24"/>
        </w:rPr>
      </w:pPr>
      <w:r>
        <w:rPr>
          <w:rFonts w:cstheme="minorHAnsi"/>
          <w:b/>
          <w:bCs/>
          <w:color w:val="000000" w:themeColor="text1"/>
          <w:sz w:val="24"/>
          <w:szCs w:val="24"/>
        </w:rPr>
        <w:t>Fraudulent Claims</w:t>
      </w:r>
    </w:p>
    <w:p w14:paraId="1100B747" w14:textId="1979769A" w:rsidR="00F35051" w:rsidRDefault="00F35051" w:rsidP="00B467EF">
      <w:pPr>
        <w:rPr>
          <w:rFonts w:cstheme="minorHAnsi"/>
          <w:color w:val="000000" w:themeColor="text1"/>
          <w:sz w:val="24"/>
          <w:szCs w:val="24"/>
        </w:rPr>
      </w:pPr>
      <w:r>
        <w:rPr>
          <w:rFonts w:cstheme="minorHAnsi"/>
          <w:color w:val="000000" w:themeColor="text1"/>
          <w:sz w:val="24"/>
          <w:szCs w:val="24"/>
        </w:rPr>
        <w:t>It is the College’s duty to protect public funds from the possibility of fraudulent claims.  The College asks for detailed information and may invite applicants for interview so it can distribute the funds correctly.  If the student’s claim is considered fraudulent ie through false representation of household income or other eligibility rules during spot checks and auditing processes, the College will request that the funds awarded are repaid in full.  If the student fails to repay this, the College may take legal action.</w:t>
      </w:r>
    </w:p>
    <w:p w14:paraId="63C7B7C7" w14:textId="61FB4D3A" w:rsidR="00F35051" w:rsidRDefault="00F35051" w:rsidP="00B467EF">
      <w:pPr>
        <w:rPr>
          <w:rFonts w:cstheme="minorHAnsi"/>
          <w:color w:val="000000" w:themeColor="text1"/>
          <w:sz w:val="24"/>
          <w:szCs w:val="24"/>
        </w:rPr>
      </w:pPr>
      <w:r>
        <w:rPr>
          <w:rFonts w:cstheme="minorHAnsi"/>
          <w:color w:val="000000" w:themeColor="text1"/>
          <w:sz w:val="24"/>
          <w:szCs w:val="24"/>
        </w:rPr>
        <w:t>An application that is found to be fraudulent ie through false representation of household income or of other eligibility rules, may be cancelled and the learner may be subject to disciplinary measures by the College.  The College will have the right to recover the monies awarded.  Government guidance advises that institutions that identify significant fraud should report it to the Department for Education.</w:t>
      </w:r>
    </w:p>
    <w:p w14:paraId="00CE93F3" w14:textId="5C1344F6" w:rsidR="00F35051" w:rsidRDefault="00F35051" w:rsidP="00B467EF">
      <w:pPr>
        <w:rPr>
          <w:rFonts w:cstheme="minorHAnsi"/>
          <w:b/>
          <w:bCs/>
          <w:color w:val="000000" w:themeColor="text1"/>
          <w:sz w:val="24"/>
          <w:szCs w:val="24"/>
        </w:rPr>
      </w:pPr>
      <w:r>
        <w:rPr>
          <w:rFonts w:cstheme="minorHAnsi"/>
          <w:b/>
          <w:bCs/>
          <w:color w:val="000000" w:themeColor="text1"/>
          <w:sz w:val="24"/>
          <w:szCs w:val="24"/>
        </w:rPr>
        <w:t>Data Protection</w:t>
      </w:r>
    </w:p>
    <w:p w14:paraId="6A497E16" w14:textId="14BC6021" w:rsidR="00F35051" w:rsidRDefault="00F35051" w:rsidP="00B467EF">
      <w:pPr>
        <w:rPr>
          <w:rFonts w:cstheme="minorHAnsi"/>
          <w:color w:val="000000" w:themeColor="text1"/>
          <w:sz w:val="24"/>
          <w:szCs w:val="24"/>
        </w:rPr>
      </w:pPr>
      <w:r>
        <w:rPr>
          <w:rFonts w:cstheme="minorHAnsi"/>
          <w:color w:val="000000" w:themeColor="text1"/>
          <w:sz w:val="24"/>
          <w:szCs w:val="24"/>
        </w:rPr>
        <w:t>College employees, involved in administering the Care to Learn funds, comply with the College’s policy on storing and transferring information during the application process and in payment of funds.</w:t>
      </w:r>
    </w:p>
    <w:p w14:paraId="19C08D1C" w14:textId="0AF22AB7" w:rsidR="00F35051" w:rsidRDefault="00F35051" w:rsidP="00B467EF">
      <w:pPr>
        <w:rPr>
          <w:rFonts w:cstheme="minorHAnsi"/>
          <w:color w:val="000000" w:themeColor="text1"/>
          <w:sz w:val="24"/>
          <w:szCs w:val="24"/>
        </w:rPr>
      </w:pPr>
    </w:p>
    <w:p w14:paraId="075D6329" w14:textId="77777777" w:rsidR="00F35051" w:rsidRPr="00F35051" w:rsidRDefault="00F35051" w:rsidP="00B467EF">
      <w:pPr>
        <w:rPr>
          <w:rFonts w:cstheme="minorHAnsi"/>
          <w:color w:val="000000" w:themeColor="text1"/>
          <w:sz w:val="24"/>
          <w:szCs w:val="24"/>
        </w:rPr>
      </w:pPr>
    </w:p>
    <w:sectPr w:rsidR="00F35051" w:rsidRPr="00F35051" w:rsidSect="00A863F6">
      <w:pgSz w:w="12240" w:h="15840"/>
      <w:pgMar w:top="567" w:right="1183" w:bottom="620" w:left="8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B148" w14:textId="77777777" w:rsidR="002B055B" w:rsidRDefault="002B055B" w:rsidP="00342515">
      <w:pPr>
        <w:spacing w:after="0" w:line="240" w:lineRule="auto"/>
      </w:pPr>
      <w:r>
        <w:separator/>
      </w:r>
    </w:p>
  </w:endnote>
  <w:endnote w:type="continuationSeparator" w:id="0">
    <w:p w14:paraId="5BF8CDB4" w14:textId="77777777" w:rsidR="002B055B" w:rsidRDefault="002B055B" w:rsidP="0034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D9B0" w14:textId="77777777" w:rsidR="002B055B" w:rsidRDefault="002B055B" w:rsidP="00342515">
      <w:pPr>
        <w:spacing w:after="0" w:line="240" w:lineRule="auto"/>
      </w:pPr>
      <w:r>
        <w:separator/>
      </w:r>
    </w:p>
  </w:footnote>
  <w:footnote w:type="continuationSeparator" w:id="0">
    <w:p w14:paraId="44D91628" w14:textId="77777777" w:rsidR="002B055B" w:rsidRDefault="002B055B" w:rsidP="00342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E11"/>
    <w:multiLevelType w:val="hybridMultilevel"/>
    <w:tmpl w:val="6F2EA0AE"/>
    <w:lvl w:ilvl="0" w:tplc="E60CEE88">
      <w:start w:val="1"/>
      <w:numFmt w:val="decimal"/>
      <w:lvlText w:val="%1."/>
      <w:lvlJc w:val="left"/>
      <w:pPr>
        <w:ind w:left="467" w:hanging="360"/>
      </w:pPr>
      <w:rPr>
        <w:rFonts w:hint="default"/>
        <w:b w:val="0"/>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 w15:restartNumberingAfterBreak="0">
    <w:nsid w:val="1940586A"/>
    <w:multiLevelType w:val="hybridMultilevel"/>
    <w:tmpl w:val="77A8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65732"/>
    <w:multiLevelType w:val="hybridMultilevel"/>
    <w:tmpl w:val="DFAE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A7D4D"/>
    <w:multiLevelType w:val="hybridMultilevel"/>
    <w:tmpl w:val="69AC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05D31"/>
    <w:multiLevelType w:val="hybridMultilevel"/>
    <w:tmpl w:val="C8AE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8A3"/>
    <w:multiLevelType w:val="hybridMultilevel"/>
    <w:tmpl w:val="B5C6F864"/>
    <w:lvl w:ilvl="0" w:tplc="A8287958">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6" w15:restartNumberingAfterBreak="0">
    <w:nsid w:val="40A77557"/>
    <w:multiLevelType w:val="multilevel"/>
    <w:tmpl w:val="86AC0EF4"/>
    <w:lvl w:ilvl="0">
      <w:start w:val="1"/>
      <w:numFmt w:val="decimal"/>
      <w:lvlText w:val="%1."/>
      <w:lvlJc w:val="left"/>
      <w:pPr>
        <w:ind w:left="837" w:hanging="721"/>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25" w:hanging="708"/>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33" w:hanging="708"/>
      </w:pPr>
      <w:rPr>
        <w:rFonts w:hint="default"/>
        <w:lang w:val="en-US" w:eastAsia="en-US" w:bidi="ar-SA"/>
      </w:rPr>
    </w:lvl>
    <w:lvl w:ilvl="3">
      <w:numFmt w:val="bullet"/>
      <w:lvlText w:val="•"/>
      <w:lvlJc w:val="left"/>
      <w:pPr>
        <w:ind w:left="2626" w:hanging="708"/>
      </w:pPr>
      <w:rPr>
        <w:rFonts w:hint="default"/>
        <w:lang w:val="en-US" w:eastAsia="en-US" w:bidi="ar-SA"/>
      </w:rPr>
    </w:lvl>
    <w:lvl w:ilvl="4">
      <w:numFmt w:val="bullet"/>
      <w:lvlText w:val="•"/>
      <w:lvlJc w:val="left"/>
      <w:pPr>
        <w:ind w:left="3520" w:hanging="708"/>
      </w:pPr>
      <w:rPr>
        <w:rFonts w:hint="default"/>
        <w:lang w:val="en-US" w:eastAsia="en-US" w:bidi="ar-SA"/>
      </w:rPr>
    </w:lvl>
    <w:lvl w:ilvl="5">
      <w:numFmt w:val="bullet"/>
      <w:lvlText w:val="•"/>
      <w:lvlJc w:val="left"/>
      <w:pPr>
        <w:ind w:left="4413" w:hanging="708"/>
      </w:pPr>
      <w:rPr>
        <w:rFonts w:hint="default"/>
        <w:lang w:val="en-US" w:eastAsia="en-US" w:bidi="ar-SA"/>
      </w:rPr>
    </w:lvl>
    <w:lvl w:ilvl="6">
      <w:numFmt w:val="bullet"/>
      <w:lvlText w:val="•"/>
      <w:lvlJc w:val="left"/>
      <w:pPr>
        <w:ind w:left="5306" w:hanging="708"/>
      </w:pPr>
      <w:rPr>
        <w:rFonts w:hint="default"/>
        <w:lang w:val="en-US" w:eastAsia="en-US" w:bidi="ar-SA"/>
      </w:rPr>
    </w:lvl>
    <w:lvl w:ilvl="7">
      <w:numFmt w:val="bullet"/>
      <w:lvlText w:val="•"/>
      <w:lvlJc w:val="left"/>
      <w:pPr>
        <w:ind w:left="6200" w:hanging="708"/>
      </w:pPr>
      <w:rPr>
        <w:rFonts w:hint="default"/>
        <w:lang w:val="en-US" w:eastAsia="en-US" w:bidi="ar-SA"/>
      </w:rPr>
    </w:lvl>
    <w:lvl w:ilvl="8">
      <w:numFmt w:val="bullet"/>
      <w:lvlText w:val="•"/>
      <w:lvlJc w:val="left"/>
      <w:pPr>
        <w:ind w:left="7093" w:hanging="708"/>
      </w:pPr>
      <w:rPr>
        <w:rFonts w:hint="default"/>
        <w:lang w:val="en-US" w:eastAsia="en-US" w:bidi="ar-SA"/>
      </w:rPr>
    </w:lvl>
  </w:abstractNum>
  <w:abstractNum w:abstractNumId="7" w15:restartNumberingAfterBreak="0">
    <w:nsid w:val="49D2488F"/>
    <w:multiLevelType w:val="hybridMultilevel"/>
    <w:tmpl w:val="C7E0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B3CDB"/>
    <w:multiLevelType w:val="hybridMultilevel"/>
    <w:tmpl w:val="E2403F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575949F0"/>
    <w:multiLevelType w:val="hybridMultilevel"/>
    <w:tmpl w:val="805CA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572AB8"/>
    <w:multiLevelType w:val="hybridMultilevel"/>
    <w:tmpl w:val="66D0A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D5DCB"/>
    <w:multiLevelType w:val="hybridMultilevel"/>
    <w:tmpl w:val="147E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37088"/>
    <w:multiLevelType w:val="hybridMultilevel"/>
    <w:tmpl w:val="BD46D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C151B"/>
    <w:multiLevelType w:val="hybridMultilevel"/>
    <w:tmpl w:val="EAEE36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EA54B4"/>
    <w:multiLevelType w:val="hybridMultilevel"/>
    <w:tmpl w:val="936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965B7"/>
    <w:multiLevelType w:val="hybridMultilevel"/>
    <w:tmpl w:val="F4F060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29551E"/>
    <w:multiLevelType w:val="hybridMultilevel"/>
    <w:tmpl w:val="03760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13"/>
  </w:num>
  <w:num w:numId="9">
    <w:abstractNumId w:val="9"/>
  </w:num>
  <w:num w:numId="10">
    <w:abstractNumId w:val="15"/>
  </w:num>
  <w:num w:numId="11">
    <w:abstractNumId w:val="1"/>
  </w:num>
  <w:num w:numId="12">
    <w:abstractNumId w:val="3"/>
  </w:num>
  <w:num w:numId="13">
    <w:abstractNumId w:val="10"/>
  </w:num>
  <w:num w:numId="14">
    <w:abstractNumId w:val="2"/>
  </w:num>
  <w:num w:numId="15">
    <w:abstractNumId w:val="1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5"/>
    <w:rsid w:val="00005096"/>
    <w:rsid w:val="00017EAB"/>
    <w:rsid w:val="00026CFE"/>
    <w:rsid w:val="00041F93"/>
    <w:rsid w:val="00043CF0"/>
    <w:rsid w:val="000909DF"/>
    <w:rsid w:val="000B4EEF"/>
    <w:rsid w:val="000E1F59"/>
    <w:rsid w:val="001266F4"/>
    <w:rsid w:val="0015155B"/>
    <w:rsid w:val="001E0933"/>
    <w:rsid w:val="001E781A"/>
    <w:rsid w:val="001F006D"/>
    <w:rsid w:val="00235F9F"/>
    <w:rsid w:val="0024223B"/>
    <w:rsid w:val="00251233"/>
    <w:rsid w:val="00271245"/>
    <w:rsid w:val="00271F47"/>
    <w:rsid w:val="00285D8C"/>
    <w:rsid w:val="002A27CA"/>
    <w:rsid w:val="002B055B"/>
    <w:rsid w:val="002D3610"/>
    <w:rsid w:val="002D60CF"/>
    <w:rsid w:val="002F7B3F"/>
    <w:rsid w:val="00301F1D"/>
    <w:rsid w:val="003357CC"/>
    <w:rsid w:val="00336E3A"/>
    <w:rsid w:val="00342515"/>
    <w:rsid w:val="00391027"/>
    <w:rsid w:val="003940A4"/>
    <w:rsid w:val="00395AFA"/>
    <w:rsid w:val="00395B0C"/>
    <w:rsid w:val="00396F68"/>
    <w:rsid w:val="004204A1"/>
    <w:rsid w:val="00473574"/>
    <w:rsid w:val="004848FD"/>
    <w:rsid w:val="004A5E12"/>
    <w:rsid w:val="004B7BCB"/>
    <w:rsid w:val="004D427F"/>
    <w:rsid w:val="00503079"/>
    <w:rsid w:val="005033E1"/>
    <w:rsid w:val="00524A25"/>
    <w:rsid w:val="005433F1"/>
    <w:rsid w:val="005A051B"/>
    <w:rsid w:val="005E6D58"/>
    <w:rsid w:val="006007D6"/>
    <w:rsid w:val="006172DF"/>
    <w:rsid w:val="006719F6"/>
    <w:rsid w:val="00681D25"/>
    <w:rsid w:val="006B4A01"/>
    <w:rsid w:val="006C3126"/>
    <w:rsid w:val="006C742A"/>
    <w:rsid w:val="0070732D"/>
    <w:rsid w:val="00710CA4"/>
    <w:rsid w:val="0071551E"/>
    <w:rsid w:val="0074026B"/>
    <w:rsid w:val="007444A1"/>
    <w:rsid w:val="0076497B"/>
    <w:rsid w:val="00766DA7"/>
    <w:rsid w:val="007A408E"/>
    <w:rsid w:val="007D7D01"/>
    <w:rsid w:val="007E14CE"/>
    <w:rsid w:val="007F3757"/>
    <w:rsid w:val="007F394A"/>
    <w:rsid w:val="007F6ADC"/>
    <w:rsid w:val="0081175B"/>
    <w:rsid w:val="008204C9"/>
    <w:rsid w:val="00844195"/>
    <w:rsid w:val="008B1F06"/>
    <w:rsid w:val="008D1B09"/>
    <w:rsid w:val="009117F8"/>
    <w:rsid w:val="00930D90"/>
    <w:rsid w:val="00931688"/>
    <w:rsid w:val="009406BB"/>
    <w:rsid w:val="009917BC"/>
    <w:rsid w:val="00992D59"/>
    <w:rsid w:val="00996054"/>
    <w:rsid w:val="009A79B4"/>
    <w:rsid w:val="009D2685"/>
    <w:rsid w:val="009D5949"/>
    <w:rsid w:val="009D7BEB"/>
    <w:rsid w:val="009E168C"/>
    <w:rsid w:val="009F4C1F"/>
    <w:rsid w:val="00A24468"/>
    <w:rsid w:val="00A4166F"/>
    <w:rsid w:val="00A45A4A"/>
    <w:rsid w:val="00A46060"/>
    <w:rsid w:val="00A70DD5"/>
    <w:rsid w:val="00A807D2"/>
    <w:rsid w:val="00A863F6"/>
    <w:rsid w:val="00A87593"/>
    <w:rsid w:val="00A93896"/>
    <w:rsid w:val="00A949FE"/>
    <w:rsid w:val="00AA63F7"/>
    <w:rsid w:val="00B23816"/>
    <w:rsid w:val="00B467EF"/>
    <w:rsid w:val="00B60921"/>
    <w:rsid w:val="00B84738"/>
    <w:rsid w:val="00B936BA"/>
    <w:rsid w:val="00BA4306"/>
    <w:rsid w:val="00BA4329"/>
    <w:rsid w:val="00BB5937"/>
    <w:rsid w:val="00BC2E87"/>
    <w:rsid w:val="00BD3CB8"/>
    <w:rsid w:val="00C21039"/>
    <w:rsid w:val="00C27FFE"/>
    <w:rsid w:val="00C52BB3"/>
    <w:rsid w:val="00C6702A"/>
    <w:rsid w:val="00C86265"/>
    <w:rsid w:val="00C92EA4"/>
    <w:rsid w:val="00C95BBA"/>
    <w:rsid w:val="00CB528B"/>
    <w:rsid w:val="00CD1C03"/>
    <w:rsid w:val="00CD37C2"/>
    <w:rsid w:val="00CF46EA"/>
    <w:rsid w:val="00D44F4C"/>
    <w:rsid w:val="00D76A95"/>
    <w:rsid w:val="00D77DD2"/>
    <w:rsid w:val="00DA2E86"/>
    <w:rsid w:val="00DC3470"/>
    <w:rsid w:val="00DE6E9B"/>
    <w:rsid w:val="00E7773E"/>
    <w:rsid w:val="00E8035B"/>
    <w:rsid w:val="00E805CE"/>
    <w:rsid w:val="00E97A73"/>
    <w:rsid w:val="00EA54FA"/>
    <w:rsid w:val="00F133CF"/>
    <w:rsid w:val="00F35051"/>
    <w:rsid w:val="00F44D23"/>
    <w:rsid w:val="00FB67EB"/>
    <w:rsid w:val="00FE7436"/>
    <w:rsid w:val="00FF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AC34"/>
  <w15:chartTrackingRefBased/>
  <w15:docId w15:val="{FE470E8A-8F35-45D3-8F2C-8C2570BF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7593"/>
    <w:pPr>
      <w:widowControl w:val="0"/>
      <w:autoSpaceDE w:val="0"/>
      <w:autoSpaceDN w:val="0"/>
      <w:spacing w:after="0" w:line="240" w:lineRule="auto"/>
      <w:ind w:left="825" w:hanging="721"/>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2515"/>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42515"/>
    <w:rPr>
      <w:rFonts w:ascii="Arial" w:eastAsia="Arial" w:hAnsi="Arial" w:cs="Arial"/>
      <w:lang w:val="en-US"/>
    </w:rPr>
  </w:style>
  <w:style w:type="paragraph" w:customStyle="1" w:styleId="TableParagraph">
    <w:name w:val="Table Paragraph"/>
    <w:basedOn w:val="Normal"/>
    <w:uiPriority w:val="1"/>
    <w:qFormat/>
    <w:rsid w:val="00342515"/>
    <w:pPr>
      <w:widowControl w:val="0"/>
      <w:autoSpaceDE w:val="0"/>
      <w:autoSpaceDN w:val="0"/>
      <w:spacing w:after="0" w:line="240" w:lineRule="auto"/>
      <w:ind w:left="107"/>
    </w:pPr>
    <w:rPr>
      <w:rFonts w:ascii="Arial" w:eastAsia="Arial" w:hAnsi="Arial" w:cs="Arial"/>
      <w:lang w:val="en-US"/>
    </w:rPr>
  </w:style>
  <w:style w:type="paragraph" w:styleId="Header">
    <w:name w:val="header"/>
    <w:basedOn w:val="Normal"/>
    <w:link w:val="HeaderChar"/>
    <w:uiPriority w:val="99"/>
    <w:unhideWhenUsed/>
    <w:rsid w:val="00342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515"/>
  </w:style>
  <w:style w:type="paragraph" w:styleId="Footer">
    <w:name w:val="footer"/>
    <w:basedOn w:val="Normal"/>
    <w:link w:val="FooterChar"/>
    <w:uiPriority w:val="99"/>
    <w:unhideWhenUsed/>
    <w:rsid w:val="00342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515"/>
  </w:style>
  <w:style w:type="character" w:customStyle="1" w:styleId="Heading1Char">
    <w:name w:val="Heading 1 Char"/>
    <w:basedOn w:val="DefaultParagraphFont"/>
    <w:link w:val="Heading1"/>
    <w:uiPriority w:val="9"/>
    <w:rsid w:val="00A87593"/>
    <w:rPr>
      <w:rFonts w:ascii="Arial" w:eastAsia="Arial" w:hAnsi="Arial" w:cs="Arial"/>
      <w:b/>
      <w:bCs/>
      <w:lang w:val="en-US"/>
    </w:rPr>
  </w:style>
  <w:style w:type="paragraph" w:styleId="Title">
    <w:name w:val="Title"/>
    <w:basedOn w:val="Normal"/>
    <w:link w:val="TitleChar"/>
    <w:uiPriority w:val="10"/>
    <w:qFormat/>
    <w:rsid w:val="00A87593"/>
    <w:pPr>
      <w:widowControl w:val="0"/>
      <w:autoSpaceDE w:val="0"/>
      <w:autoSpaceDN w:val="0"/>
      <w:spacing w:before="267" w:after="0" w:line="240" w:lineRule="auto"/>
      <w:ind w:left="2569" w:right="2564"/>
      <w:jc w:val="center"/>
    </w:pPr>
    <w:rPr>
      <w:rFonts w:ascii="Arial" w:eastAsia="Arial" w:hAnsi="Arial" w:cs="Arial"/>
      <w:b/>
      <w:bCs/>
      <w:sz w:val="28"/>
      <w:szCs w:val="28"/>
      <w:u w:val="single" w:color="000000"/>
      <w:lang w:val="en-US"/>
    </w:rPr>
  </w:style>
  <w:style w:type="character" w:customStyle="1" w:styleId="TitleChar">
    <w:name w:val="Title Char"/>
    <w:basedOn w:val="DefaultParagraphFont"/>
    <w:link w:val="Title"/>
    <w:uiPriority w:val="10"/>
    <w:rsid w:val="00A87593"/>
    <w:rPr>
      <w:rFonts w:ascii="Arial" w:eastAsia="Arial" w:hAnsi="Arial" w:cs="Arial"/>
      <w:b/>
      <w:bCs/>
      <w:sz w:val="28"/>
      <w:szCs w:val="28"/>
      <w:u w:val="single" w:color="000000"/>
      <w:lang w:val="en-US"/>
    </w:rPr>
  </w:style>
  <w:style w:type="paragraph" w:styleId="ListParagraph">
    <w:name w:val="List Paragraph"/>
    <w:basedOn w:val="Normal"/>
    <w:uiPriority w:val="34"/>
    <w:qFormat/>
    <w:rsid w:val="00A87593"/>
    <w:pPr>
      <w:widowControl w:val="0"/>
      <w:autoSpaceDE w:val="0"/>
      <w:autoSpaceDN w:val="0"/>
      <w:spacing w:after="0" w:line="240" w:lineRule="auto"/>
      <w:ind w:left="824" w:hanging="708"/>
      <w:jc w:val="both"/>
    </w:pPr>
    <w:rPr>
      <w:rFonts w:ascii="Arial" w:eastAsia="Arial" w:hAnsi="Arial" w:cs="Arial"/>
      <w:lang w:val="en-US"/>
    </w:rPr>
  </w:style>
  <w:style w:type="paragraph" w:styleId="Revision">
    <w:name w:val="Revision"/>
    <w:hidden/>
    <w:uiPriority w:val="99"/>
    <w:semiHidden/>
    <w:rsid w:val="00A87593"/>
    <w:pPr>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A87593"/>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A87593"/>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1266F4"/>
    <w:rPr>
      <w:sz w:val="16"/>
      <w:szCs w:val="16"/>
    </w:rPr>
  </w:style>
  <w:style w:type="paragraph" w:styleId="CommentText">
    <w:name w:val="annotation text"/>
    <w:basedOn w:val="Normal"/>
    <w:link w:val="CommentTextChar"/>
    <w:uiPriority w:val="99"/>
    <w:semiHidden/>
    <w:unhideWhenUsed/>
    <w:rsid w:val="001266F4"/>
    <w:pPr>
      <w:spacing w:line="240" w:lineRule="auto"/>
    </w:pPr>
    <w:rPr>
      <w:sz w:val="20"/>
      <w:szCs w:val="20"/>
    </w:rPr>
  </w:style>
  <w:style w:type="character" w:customStyle="1" w:styleId="CommentTextChar">
    <w:name w:val="Comment Text Char"/>
    <w:basedOn w:val="DefaultParagraphFont"/>
    <w:link w:val="CommentText"/>
    <w:uiPriority w:val="99"/>
    <w:semiHidden/>
    <w:rsid w:val="001266F4"/>
    <w:rPr>
      <w:sz w:val="20"/>
      <w:szCs w:val="20"/>
    </w:rPr>
  </w:style>
  <w:style w:type="paragraph" w:styleId="CommentSubject">
    <w:name w:val="annotation subject"/>
    <w:basedOn w:val="CommentText"/>
    <w:next w:val="CommentText"/>
    <w:link w:val="CommentSubjectChar"/>
    <w:uiPriority w:val="99"/>
    <w:semiHidden/>
    <w:unhideWhenUsed/>
    <w:rsid w:val="001266F4"/>
    <w:rPr>
      <w:b/>
      <w:bCs/>
    </w:rPr>
  </w:style>
  <w:style w:type="character" w:customStyle="1" w:styleId="CommentSubjectChar">
    <w:name w:val="Comment Subject Char"/>
    <w:basedOn w:val="CommentTextChar"/>
    <w:link w:val="CommentSubject"/>
    <w:uiPriority w:val="99"/>
    <w:semiHidden/>
    <w:rsid w:val="001266F4"/>
    <w:rPr>
      <w:b/>
      <w:bCs/>
      <w:sz w:val="20"/>
      <w:szCs w:val="20"/>
    </w:rPr>
  </w:style>
  <w:style w:type="table" w:styleId="TableGrid">
    <w:name w:val="Table Grid"/>
    <w:basedOn w:val="TableNormal"/>
    <w:uiPriority w:val="59"/>
    <w:rsid w:val="004848FD"/>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D8C"/>
    <w:rPr>
      <w:color w:val="0563C1" w:themeColor="hyperlink"/>
      <w:u w:val="single"/>
    </w:rPr>
  </w:style>
  <w:style w:type="paragraph" w:styleId="NoSpacing">
    <w:name w:val="No Spacing"/>
    <w:uiPriority w:val="1"/>
    <w:qFormat/>
    <w:rsid w:val="00B60921"/>
    <w:pPr>
      <w:spacing w:after="0" w:line="240" w:lineRule="auto"/>
    </w:pPr>
  </w:style>
  <w:style w:type="character" w:styleId="UnresolvedMention">
    <w:name w:val="Unresolved Mention"/>
    <w:basedOn w:val="DefaultParagraphFont"/>
    <w:uiPriority w:val="99"/>
    <w:semiHidden/>
    <w:unhideWhenUsed/>
    <w:rsid w:val="008204C9"/>
    <w:rPr>
      <w:color w:val="605E5C"/>
      <w:shd w:val="clear" w:color="auto" w:fill="E1DFDD"/>
    </w:rPr>
  </w:style>
  <w:style w:type="character" w:styleId="FollowedHyperlink">
    <w:name w:val="FollowedHyperlink"/>
    <w:basedOn w:val="DefaultParagraphFont"/>
    <w:uiPriority w:val="99"/>
    <w:semiHidden/>
    <w:unhideWhenUsed/>
    <w:rsid w:val="00820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udentfinance@bpc.ac.uk" TargetMode="External"/><Relationship Id="rId4" Type="http://schemas.openxmlformats.org/officeDocument/2006/relationships/webSettings" Target="webSettings.xml"/><Relationship Id="rId9" Type="http://schemas.openxmlformats.org/officeDocument/2006/relationships/hyperlink" Target="https://www.gov.uk/government/publications/advice-funding-regulations-for-post-16-pro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Judd</dc:creator>
  <cp:keywords/>
  <dc:description/>
  <cp:lastModifiedBy>Sarah-Jayne Lee</cp:lastModifiedBy>
  <cp:revision>3</cp:revision>
  <dcterms:created xsi:type="dcterms:W3CDTF">2025-07-30T09:17:00Z</dcterms:created>
  <dcterms:modified xsi:type="dcterms:W3CDTF">2025-07-30T09:18:00Z</dcterms:modified>
</cp:coreProperties>
</file>